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FAZLA ÇALIŞMA ÜCRETI ALACAĞI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İŞIN YAPILDIĞI YER VEYA DAVALI IŞVERENIN YERLEŞIM YERINDEKI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DAVACI/İŞÇİ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Ödenmeyen fazla çalışma ücretinin faiziyle tahsili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4857 m.41’e göre haftalık kırk beş saati aşan çalışma fazla çalışmadır ve saat ücreti yüzde elli zamlı ödenir. Bordrolar, puantajlar ve tanıklar birlikte değerlendirilir; imzalı ihtirazi kayıtsız bordro dönemleri ayrıca incelenir.</w:t>
      </w:r>
    </w:p>
    <w:p>
      <w:pPr/>
      <w:r>
        <w:rPr>
          <w:b/>
        </w:rPr>
        <w:t xml:space="preserve">2. </w:t>
      </w:r>
      <w:r>
        <w:t>Davacı [DÖNEM] boyunca haftada [GÜN], [BAŞLANGIÇ-BİTİŞ] saatleri arasında çalıştı.</w:t>
      </w:r>
    </w:p>
    <w:p>
      <w:pPr/>
      <w:r>
        <w:rPr>
          <w:b/>
        </w:rPr>
        <w:t xml:space="preserve">3. </w:t>
      </w:r>
      <w:r>
        <w:t>Günlük ara dinlenmesi fiilen [SÜRE] dakika/saat idi.</w:t>
      </w:r>
    </w:p>
    <w:p>
      <w:pPr/>
      <w:r>
        <w:rPr>
          <w:b/>
        </w:rPr>
        <w:t xml:space="preserve">4. </w:t>
      </w:r>
      <w:r>
        <w:t>Haftalık kırk beş saati aşan toplam çalışma karşılığı bordroya yansıtılmadı veya eksik ödendi.</w:t>
      </w:r>
    </w:p>
    <w:p>
      <w:pPr/>
      <w:r>
        <w:rPr>
          <w:b/>
        </w:rPr>
        <w:t xml:space="preserve">5. </w:t>
      </w:r>
      <w:r>
        <w:t>Arabuluculukta fazla çalışma alacağı açıkça talep edildi fakat anlaşma sağlanmadı.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4857 sayılı Kanun m.41: </w:t>
      </w:r>
      <w:r>
        <w:t>Haftalık kırk beş saati aşan fazla çalışma için saat ücreti yüzde elli artırılır; serbest zaman seçeneği ve yıllık üst sınır düzenlenir.</w:t>
      </w:r>
    </w:p>
    <w:p>
      <w:pPr>
        <w:ind w:left="312"/>
      </w:pPr>
      <w:r>
        <w:rPr>
          <w:b/>
          <w:color w:val="1E3A8A"/>
        </w:rPr>
        <w:t xml:space="preserve">4857 sayılı Kanun m.63: </w:t>
      </w:r>
      <w:r>
        <w:t>Genel haftalık çalışma süresi en çok kırk beş saattir.</w:t>
      </w:r>
    </w:p>
    <w:p>
      <w:pPr>
        <w:ind w:left="312"/>
      </w:pPr>
      <w:r>
        <w:rPr>
          <w:b/>
          <w:color w:val="1E3A8A"/>
        </w:rPr>
        <w:t xml:space="preserve">4857 sayılı Kanun m.68: </w:t>
      </w:r>
      <w:r>
        <w:t>Ara dinlenmesi süreleri çalışma süresinden sayılmaz.</w:t>
      </w:r>
    </w:p>
    <w:p>
      <w:pPr>
        <w:ind w:left="312"/>
      </w:pPr>
      <w:r>
        <w:rPr>
          <w:b/>
          <w:color w:val="1E3A8A"/>
        </w:rPr>
        <w:t xml:space="preserve">4857 sayılı Kanun Ek m.3: </w:t>
      </w:r>
      <w:r>
        <w:t>Fazla çalışma ve ücret alacaklarında beş yıllık zamanaşımı uygulanır.</w:t>
      </w:r>
    </w:p>
    <w:p>
      <w:pPr>
        <w:ind w:left="312"/>
      </w:pPr>
      <w:r>
        <w:rPr>
          <w:b/>
          <w:color w:val="1E3A8A"/>
        </w:rPr>
        <w:t xml:space="preserve">7036 sayılı Kanun m.3: </w:t>
      </w:r>
      <w:r>
        <w:t>Dava öncesi arabuluculuk zorunludur.</w:t>
      </w:r>
    </w:p>
    <w:p>
      <w:pPr>
        <w:pStyle w:val="Heading1"/>
      </w:pPr>
      <w:r>
        <w:t>HUKUKİ NEDENLER</w:t>
      </w:r>
    </w:p>
    <w:p>
      <w:r>
        <w:t>4857 sayılı Kanun m.41, 4857 sayılı Kanun m.63, 4857 sayılı Kanun m.68, 4857 sayılı Kanun Ek m.3, 7036 sayılı Kanun m.3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Puantaj ve vardiya çizelgeleri</w:t>
      </w:r>
    </w:p>
    <w:p>
      <w:pPr/>
      <w:r>
        <w:rPr>
          <w:b/>
        </w:rPr>
        <w:t xml:space="preserve">2. </w:t>
      </w:r>
      <w:r>
        <w:t>Kart basma/turnike/GPS kayıtları</w:t>
      </w:r>
    </w:p>
    <w:p>
      <w:pPr/>
      <w:r>
        <w:rPr>
          <w:b/>
        </w:rPr>
        <w:t xml:space="preserve">3. </w:t>
      </w:r>
      <w:r>
        <w:t>E-posta ve görev kayıtları</w:t>
      </w:r>
    </w:p>
    <w:p>
      <w:pPr/>
      <w:r>
        <w:rPr>
          <w:b/>
        </w:rPr>
        <w:t xml:space="preserve">4. </w:t>
      </w:r>
      <w:r>
        <w:t>Bordro ve banka kayıtları</w:t>
      </w:r>
    </w:p>
    <w:p>
      <w:pPr/>
      <w:r>
        <w:rPr>
          <w:b/>
        </w:rPr>
        <w:t xml:space="preserve">5. </w:t>
      </w:r>
      <w:r>
        <w:t>Tanıklar ve arabuluculuk tutanağı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Fazla çalışma alacağının dönemsel ücretler üzerinden bilirkişiyle hesaplanıp faiziyle tahsili,</w:t>
      </w:r>
    </w:p>
    <w:p>
      <w:pPr>
        <w:ind w:left="283"/>
      </w:pPr>
      <w:r>
        <w:rPr>
          <w:b/>
        </w:rPr>
        <w:t xml:space="preserve">2. </w:t>
      </w:r>
      <w:r>
        <w:t>İşyeri elektronik kayıtlarının celbi,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DAVACI/İŞÇİ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Puantaj ve vardiya çizelgeleri</w:t>
      </w:r>
    </w:p>
    <w:p>
      <w:pPr/>
      <w:r>
        <w:t>2. Kart basma/turnike/GPS kayıtları</w:t>
      </w:r>
    </w:p>
    <w:p>
      <w:pPr/>
      <w:r>
        <w:t>3. E-posta ve görev kayıtları</w:t>
      </w:r>
    </w:p>
    <w:p>
      <w:pPr/>
      <w:r>
        <w:t>4. Bordro ve banka kayıtları</w:t>
      </w:r>
    </w:p>
    <w:p>
      <w:pPr/>
      <w:r>
        <w:t>5. Tanıklar ve arabuluculuk tutanağı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İşin yapıldığı yer veya davalı işverenin yerleşim yerindeki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Her fazla çalışma alacağı muaccel olduğu tarihten itibaren beş yıllık zamanaşımına tabidir.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Zorunlu arabuluculuk tamamlanır. Haftalık çalışma gün/saatleri, ara dinlenmeleri, gece çalışması, hafta tatili ve bordro tahakkukları dönemlere ayrılır.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[DÖNEM] boyunca haftada [GÜN], [BAŞLANGIÇ-BİTİŞ] saatleri arasında çalıştı.</w:t>
      </w:r>
    </w:p>
    <w:p>
      <w:pPr/>
      <w:r>
        <w:t>Günlük ara dinlenmesi fiilen □ [SÜRE] dakika/saat idi.</w:t>
      </w:r>
    </w:p>
    <w:p>
      <w:pPr/>
      <w:r>
        <w:t>Haftalık kırk beş saati aşan toplam çalışma karşılığı bordroya yansıtılmadı veya eksik ödendi.</w:t>
      </w:r>
    </w:p>
    <w:p>
      <w:pPr/>
      <w:r>
        <w:t>Arabuluculukta fazla çalışma alacağı açıkça talep edildi fakat anlaşma sağlanmadı.</w:t>
      </w:r>
    </w:p>
    <w:p>
      <w:pPr>
        <w:pStyle w:val="Heading2"/>
      </w:pPr>
      <w:r>
        <w:t>Başvuru öncesi kritik kontroller</w:t>
      </w:r>
    </w:p>
    <w:p>
      <w:pPr/>
      <w:r>
        <w:t>□ Çalışma başlangıç ve bitişini, ara dinlenmesini ve haftalık gün sayısını net yazın.</w:t>
      </w:r>
    </w:p>
    <w:p>
      <w:pPr/>
      <w:r>
        <w:t>□ Hafta tatili ve ulusal bayram çalışmasını fazla mesaiden ayrı kalemlendirin.</w:t>
      </w:r>
    </w:p>
    <w:p>
      <w:pPr/>
      <w:r>
        <w:t>□ Sadece tanığa dayanmak yerine elektronik ve yazılı kayıtların celbini isteyin.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4857 güncel metni</w:t>
        </w:r>
      </w:hyperlink>
    </w:p>
    <w:p>
      <w:hyperlink r:id="rId12">
        <w:r>
          <w:rPr>
            <w:color w:val="1e3a8a"/>
            <w:u w:val="single"/>
          </w:rPr>
          <w:t>7036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İşçi hakları rehberi</w:t>
        </w:r>
      </w:hyperlink>
    </w:p>
    <w:p>
      <w:hyperlink r:id="rId14">
        <w:r>
          <w:rPr>
            <w:color w:val="1e3a8a"/>
            <w:u w:val="single"/>
          </w:rPr>
          <w:t>Maaş ödenmezse ne yapılır?</w:t>
        </w:r>
      </w:hyperlink>
    </w:p>
    <w:p>
      <w:hyperlink r:id="rId15">
        <w:r>
          <w:rPr>
            <w:color w:val="1e3a8a"/>
            <w:u w:val="single"/>
          </w:rPr>
          <w:t>İşe iade davası süresi ve şartları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857.pdf" TargetMode="External"/><Relationship Id="rId12" Type="http://schemas.openxmlformats.org/officeDocument/2006/relationships/hyperlink" Target="https://www.mevzuat.gov.tr/mevzuatmetin/1.5.7036.pdf" TargetMode="External"/><Relationship Id="rId13" Type="http://schemas.openxmlformats.org/officeDocument/2006/relationships/hyperlink" Target="https://halilbakirci.av.tr/isci-haklari-nelerdir/" TargetMode="External"/><Relationship Id="rId14" Type="http://schemas.openxmlformats.org/officeDocument/2006/relationships/hyperlink" Target="https://halilbakirci.av.tr/maas-odenmezse-ne-yapilir/" TargetMode="External"/><Relationship Id="rId15" Type="http://schemas.openxmlformats.org/officeDocument/2006/relationships/hyperlink" Target="https://halilbakirci.av.tr/ise-iade-davasi-acma-suresi-sartlari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Fazla Çalışma Ücreti Alacağı Dava Dilekçesi Örneği</dc:title>
  <dc:subject>fazla mesai dava dilekçesi</dc:subject>
  <dc:creator>Av. Halil Bakırcı</dc:creator>
  <cp:keywords>fazla mesai dava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