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FAZLA MESAI ALACAĞI ÖDEME TALEP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İŞVEREN/INSAN KAYNAKLARI; ÖDEME OLMAZSA ARABULUCULUK BÜROSU</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Ayşe Yılmaz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Mehmet Yılmaz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2026/221 Esas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Fazla Mesai Alacağı Ödeme Talep Dilekçesi kapsamında fazla çalışma kayıtlarının verilmesi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15.02.2026 — gerçek belge tarihini yazınız</w:t>
            </w:r>
          </w:p>
        </w:tc>
      </w:tr>
    </w:tbl>
    <w:p>
      <w:pPr>
        <w:pStyle w:val="Heading1"/>
      </w:pPr>
      <w:r>
        <w:t>AÇIKLAMALAR</w:t>
      </w:r>
    </w:p>
    <w:p>
      <w:pPr>
        <w:keepLines w:val="0"/>
        <w:ind w:firstLine="340"/>
      </w:pPr>
      <w:r>
        <w:rPr>
          <w:b/>
          <w:color w:val="1E3A8A"/>
        </w:rPr>
        <w:t xml:space="preserve">1. </w:t>
      </w:r>
      <w:r>
        <w:t>Örnek olayda Haftada altı gün 08.00-19.00 çalışan işçi, ödenmeyen fazla çalışmalarının hesaplanmasını ister. Başvurucu, uyuşmazlığı 15.02.2026 tarihinde öğrenmiş; ilk yazılı başvurusunu 24.03.2026 tarihinde yapmıştır. Bu tarihler yalnız örnek olup gerçek dosyadaki tebliğ, öğrenme veya işlem tarihleriyle değiştirilmelidir.</w:t>
      </w:r>
    </w:p>
    <w:p>
      <w:pPr>
        <w:keepLines w:val="0"/>
        <w:ind w:firstLine="340"/>
      </w:pPr>
      <w:r>
        <w:rPr>
          <w:b/>
          <w:color w:val="1E3A8A"/>
        </w:rPr>
        <w:t xml:space="preserve">2. </w:t>
      </w:r>
      <w:r>
        <w:t>Normal çalışma düzeni tarih, yer, kişi ve belge bağlantısıyla açıklanır. Normal çalışma düzeni bakımından olayın başlangıcı, tarafların sıfatı ve işlem tarihi birlikte gösterilmiştir. Bu olgu Bordrolar ile doğrulanmakta; belge Ek-1 olarak sunulmaktadır.</w:t>
      </w:r>
    </w:p>
    <w:p>
      <w:pPr>
        <w:keepLines w:val="0"/>
        <w:ind w:firstLine="340"/>
      </w:pPr>
      <w:r>
        <w:rPr>
          <w:b/>
          <w:color w:val="1E3A8A"/>
        </w:rPr>
        <w:t xml:space="preserve">3. </w:t>
      </w:r>
      <w:r>
        <w:t>Fazla çalışma gün ve saatleri tarih, yer, kişi ve belge bağlantısıyla açıklanır. Fazla çalışma gün ve saatleri yönünden yalnız sonuç belirtilmemiş, işlemin nasıl gerçekleştiği ve başvurucunun hangi hakkının etkilendiği açıklanmıştır. Puantaj kayıtları, iddiayı doğrulayan temel kayıt olarak Ek-2 numarasıyla dosyaya eklenmiştir.</w:t>
      </w:r>
    </w:p>
    <w:p>
      <w:pPr>
        <w:keepLines w:val="0"/>
        <w:ind w:firstLine="340"/>
      </w:pPr>
      <w:r>
        <w:rPr>
          <w:b/>
          <w:color w:val="1E3A8A"/>
        </w:rPr>
        <w:t xml:space="preserve">4. </w:t>
      </w:r>
      <w:r>
        <w:t>Ara dinlenmeleri tarih, yer, kişi ve belge bağlantısıyla açıklanır. Ara dinlenmeleri somutlaştırılırken tarih sırası korunmuş ve karşı tarafın ya da kurumun işlemi açıkça gösterilmiştir. Giriş-çıkış kayıtları üzerinde yer alan tarih ve kayıt numarası dilekçedeki anlatımla uyumludur.</w:t>
      </w:r>
    </w:p>
    <w:p>
      <w:pPr>
        <w:keepLines w:val="0"/>
        <w:ind w:firstLine="340"/>
      </w:pPr>
      <w:r>
        <w:rPr>
          <w:b/>
          <w:color w:val="1E3A8A"/>
        </w:rPr>
        <w:t xml:space="preserve">5. </w:t>
      </w:r>
      <w:r>
        <w:t>Ödeme yapılıp yapılmadığı tarih, yer, kişi ve belge bağlantısıyla açıklanır. Ödeme yapılıp yapılmadığı başlığı altında başvurunun hukuki yararı açıklanmıştır. İstenen sonucun neden gerekli olduğu, Mesaj/e-posta kayıtları ile talep arasındaki bağlantı kurularak gösterilmiştir.</w:t>
      </w:r>
    </w:p>
    <w:p>
      <w:pPr>
        <w:keepLines w:val="0"/>
        <w:ind w:firstLine="340"/>
      </w:pPr>
      <w:r>
        <w:rPr>
          <w:b/>
          <w:color w:val="1E3A8A"/>
        </w:rPr>
        <w:t xml:space="preserve">6. </w:t>
      </w:r>
      <w:r>
        <w:t>Bordro ihtiraz kayıtları tarih, yer, kişi ve belge bağlantısıyla açıklanır. Bordro ihtiraz kayıtları konusunda örnek olayın özel koşulları belirtilmiş; varsayıma dayalı ifade kullanılmamıştır. Tanık listesi mevcut değilse belgenin hangi kurumdan ve hangi dönem için getirtilmesi istendiği ayrıca yazılmalıdır.</w:t>
      </w:r>
    </w:p>
    <w:p>
      <w:pPr>
        <w:pStyle w:val="Heading1"/>
      </w:pPr>
      <w:r>
        <w:t>HUKUKİ DEĞERLENDİRME</w:t>
      </w:r>
    </w:p>
    <w:p>
      <w:r>
        <w:t>Başvurunun hukuki dayanağı 4857 sayılı İş Kanunu m.41, 63 ve ilgili yönetmelik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4857 sayılı İş Kanunu m.41, 63 ve ilgili yönetmelik</w:t>
      </w:r>
    </w:p>
    <w:p>
      <w:r>
        <w:t>4857 sayılı İş Kanunu m.41, 63 ve ilgili yönetmelik hükümleri başvurunun maddi ve usul şartlarını belirler. Güncel resmî metin, tebliğ ve işlem tarihinde birlikte değerlendirilir.</w:t>
      </w:r>
    </w:p>
    <w:p>
      <w:pPr>
        <w:pStyle w:val="Heading1"/>
      </w:pPr>
      <w:r>
        <w:t>DELİLLER</w:t>
      </w:r>
    </w:p>
    <w:p>
      <w:r>
        <w:t>1. Ek-1: Bordrolar — ilgili olay paragrafını doğrulayan tarihli ve okunaklı kayıt.</w:t>
      </w:r>
    </w:p>
    <w:p>
      <w:r>
        <w:t>2. Ek-2: Puantaj kayıtları — ilgili olay paragrafını doğrulayan tarihli ve okunaklı kayıt.</w:t>
      </w:r>
    </w:p>
    <w:p>
      <w:r>
        <w:t>3. Ek-3: Giriş-çıkış kayıtları — ilgili olay paragrafını doğrulayan tarihli ve okunaklı kayıt.</w:t>
      </w:r>
    </w:p>
    <w:p>
      <w:r>
        <w:t>4. Ek-4: Mesaj/e-posta kayıtları — ilgili olay paragrafını doğrulayan tarihli ve okunaklı kayıt.</w:t>
      </w:r>
    </w:p>
    <w:p>
      <w:r>
        <w:t>5. Ek-5: Tanık listesi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4857 sayılı İş Kanunu m.41, 63 ve ilgili yönetmelik ve somut olaya uygulanacak diğer mevzuat.</w:t>
      </w:r>
    </w:p>
    <w:p>
      <w:pPr>
        <w:pStyle w:val="Heading1"/>
      </w:pPr>
      <w:r>
        <w:t>SONUÇ VE İSTEM</w:t>
      </w:r>
    </w:p>
    <w:p>
      <w:pPr>
        <w:keepNext/>
      </w:pPr>
      <w:r>
        <w:t>Yukarıda açıklanan ve resen dikkate alınacak nedenlerle;</w:t>
      </w:r>
    </w:p>
    <w:p>
      <w:r>
        <w:t>1. Fazla çalışma kayıtlarının verilmesi.</w:t>
      </w:r>
    </w:p>
    <w:p>
      <w:r>
        <w:t>2. Ödenmeyen tutarın hesaplanıp ödenmesi.</w:t>
      </w:r>
    </w:p>
    <w:p>
      <w:r>
        <w:t>3. Faiz ve arabuluculuk/dava haklarının saklı tutulması.</w:t>
      </w:r>
    </w:p>
    <w:p>
      <w:r>
        <w:t>4.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24.03.2026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Ayşe Yılmaz</w:t>
              <w:br/>
              <w:t>İmza</w:t>
            </w:r>
          </w:p>
        </w:tc>
      </w:tr>
    </w:tbl>
    <w:p>
      <w:pPr>
        <w:pStyle w:val="Heading1"/>
      </w:pPr>
      <w:r>
        <w:t>EKLER</w:t>
      </w:r>
    </w:p>
    <w:p>
      <w:r>
        <w:t>1. Bordrolar</w:t>
      </w:r>
    </w:p>
    <w:p>
      <w:r>
        <w:t>2. Puantaj kayıtları</w:t>
      </w:r>
    </w:p>
    <w:p>
      <w:r>
        <w:t>3. Giriş-çıkış kayıtları</w:t>
      </w:r>
    </w:p>
    <w:p>
      <w:r>
        <w:t>4. Mesaj/e-posta kayıtları</w:t>
      </w:r>
    </w:p>
    <w:p>
      <w:r>
        <w:t>5. Tanık listesi</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İşveren/insan kaynakları; ödeme olmazsa arabuluculuk bürosu</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Ücret alacağı zamanaşımı dolmadan başvurulur; dönemler ayrı gösterilir.</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Çalışma gün ve saatleri, ara dinlenmesi ve ödenen bordro kalemleri karşılaştırılır.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15.02.2026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Bordrolar</w:t>
            </w:r>
          </w:p>
        </w:tc>
      </w:tr>
      <w:tr>
        <w:tc>
          <w:tcPr>
            <w:tcW w:type="dxa" w:w="3457"/>
            <w:tcMar>
              <w:top w:w="110" w:type="dxa"/>
              <w:start w:w="120" w:type="dxa"/>
              <w:bottom w:w="110" w:type="dxa"/>
              <w:end w:w="120" w:type="dxa"/>
            </w:tcMar>
          </w:tcPr>
          <w:p>
            <w:r>
              <w:t>24.03.2026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Puantaj kayıtları</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Giriş-çıkış kayıtları</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Normal çalışma düzeni</w:t>
            </w:r>
          </w:p>
        </w:tc>
        <w:tc>
          <w:tcPr>
            <w:tcW w:type="dxa" w:w="3457"/>
            <w:tcMar>
              <w:top w:w="110" w:type="dxa"/>
              <w:start w:w="120" w:type="dxa"/>
              <w:bottom w:w="110" w:type="dxa"/>
              <w:end w:w="120" w:type="dxa"/>
            </w:tcMar>
          </w:tcPr>
          <w:p>
            <w:r>
              <w:t>Bordrolar</w:t>
            </w:r>
          </w:p>
        </w:tc>
        <w:tc>
          <w:tcPr>
            <w:tcW w:type="dxa" w:w="3457"/>
            <w:tcMar>
              <w:top w:w="110" w:type="dxa"/>
              <w:start w:w="120" w:type="dxa"/>
              <w:bottom w:w="110" w:type="dxa"/>
              <w:end w:w="120" w:type="dxa"/>
            </w:tcMar>
          </w:tcPr>
          <w:p>
            <w:r>
              <w:t>Fazla çalışma kayıtlarının verilmesi</w:t>
            </w:r>
          </w:p>
        </w:tc>
      </w:tr>
      <w:tr>
        <w:tc>
          <w:tcPr>
            <w:tcW w:type="dxa" w:w="3457"/>
            <w:tcMar>
              <w:top w:w="110" w:type="dxa"/>
              <w:start w:w="120" w:type="dxa"/>
              <w:bottom w:w="110" w:type="dxa"/>
              <w:end w:w="120" w:type="dxa"/>
            </w:tcMar>
          </w:tcPr>
          <w:p>
            <w:r>
              <w:t>Fazla çalışma gün ve saatleri</w:t>
            </w:r>
          </w:p>
        </w:tc>
        <w:tc>
          <w:tcPr>
            <w:tcW w:type="dxa" w:w="3457"/>
            <w:tcMar>
              <w:top w:w="110" w:type="dxa"/>
              <w:start w:w="120" w:type="dxa"/>
              <w:bottom w:w="110" w:type="dxa"/>
              <w:end w:w="120" w:type="dxa"/>
            </w:tcMar>
          </w:tcPr>
          <w:p>
            <w:r>
              <w:t>Puantaj kayıtları</w:t>
            </w:r>
          </w:p>
        </w:tc>
        <w:tc>
          <w:tcPr>
            <w:tcW w:type="dxa" w:w="3457"/>
            <w:tcMar>
              <w:top w:w="110" w:type="dxa"/>
              <w:start w:w="120" w:type="dxa"/>
              <w:bottom w:w="110" w:type="dxa"/>
              <w:end w:w="120" w:type="dxa"/>
            </w:tcMar>
          </w:tcPr>
          <w:p>
            <w:r>
              <w:t>Ödenmeyen tutarın hesaplanıp ödenmesi</w:t>
            </w:r>
          </w:p>
        </w:tc>
      </w:tr>
      <w:tr>
        <w:tc>
          <w:tcPr>
            <w:tcW w:type="dxa" w:w="3457"/>
            <w:tcMar>
              <w:top w:w="110" w:type="dxa"/>
              <w:start w:w="120" w:type="dxa"/>
              <w:bottom w:w="110" w:type="dxa"/>
              <w:end w:w="120" w:type="dxa"/>
            </w:tcMar>
          </w:tcPr>
          <w:p>
            <w:r>
              <w:t>Ara dinlenmeleri</w:t>
            </w:r>
          </w:p>
        </w:tc>
        <w:tc>
          <w:tcPr>
            <w:tcW w:type="dxa" w:w="3457"/>
            <w:tcMar>
              <w:top w:w="110" w:type="dxa"/>
              <w:start w:w="120" w:type="dxa"/>
              <w:bottom w:w="110" w:type="dxa"/>
              <w:end w:w="120" w:type="dxa"/>
            </w:tcMar>
          </w:tcPr>
          <w:p>
            <w:r>
              <w:t>Giriş-çıkış kayıtları</w:t>
            </w:r>
          </w:p>
        </w:tc>
        <w:tc>
          <w:tcPr>
            <w:tcW w:type="dxa" w:w="3457"/>
            <w:tcMar>
              <w:top w:w="110" w:type="dxa"/>
              <w:start w:w="120" w:type="dxa"/>
              <w:bottom w:w="110" w:type="dxa"/>
              <w:end w:w="120" w:type="dxa"/>
            </w:tcMar>
          </w:tcPr>
          <w:p>
            <w:r>
              <w:t>Faiz ve arabuluculuk/dava haklarının saklı tutulması</w:t>
            </w:r>
          </w:p>
        </w:tc>
      </w:tr>
      <w:tr>
        <w:tc>
          <w:tcPr>
            <w:tcW w:type="dxa" w:w="3457"/>
            <w:tcMar>
              <w:top w:w="110" w:type="dxa"/>
              <w:start w:w="120" w:type="dxa"/>
              <w:bottom w:w="110" w:type="dxa"/>
              <w:end w:w="120" w:type="dxa"/>
            </w:tcMar>
          </w:tcPr>
          <w:p>
            <w:r>
              <w:t>Ödeme yapılıp yapılmadığı</w:t>
            </w:r>
          </w:p>
        </w:tc>
        <w:tc>
          <w:tcPr>
            <w:tcW w:type="dxa" w:w="3457"/>
            <w:tcMar>
              <w:top w:w="110" w:type="dxa"/>
              <w:start w:w="120" w:type="dxa"/>
              <w:bottom w:w="110" w:type="dxa"/>
              <w:end w:w="120" w:type="dxa"/>
            </w:tcMar>
          </w:tcPr>
          <w:p>
            <w:r>
              <w:t>Mesaj/e-posta kayıtları</w:t>
            </w:r>
          </w:p>
        </w:tc>
        <w:tc>
          <w:tcPr>
            <w:tcW w:type="dxa" w:w="3457"/>
            <w:tcMar>
              <w:top w:w="110" w:type="dxa"/>
              <w:start w:w="120" w:type="dxa"/>
              <w:bottom w:w="110" w:type="dxa"/>
              <w:end w:w="120" w:type="dxa"/>
            </w:tcMar>
          </w:tcPr>
          <w:p>
            <w:r>
              <w:t>Fazla çalışma kayıtlarının verilmesi</w:t>
            </w:r>
          </w:p>
        </w:tc>
      </w:tr>
      <w:tr>
        <w:tc>
          <w:tcPr>
            <w:tcW w:type="dxa" w:w="3457"/>
            <w:tcMar>
              <w:top w:w="110" w:type="dxa"/>
              <w:start w:w="120" w:type="dxa"/>
              <w:bottom w:w="110" w:type="dxa"/>
              <w:end w:w="120" w:type="dxa"/>
            </w:tcMar>
          </w:tcPr>
          <w:p>
            <w:r>
              <w:t>Bordro ihtiraz kayıtları</w:t>
            </w:r>
          </w:p>
        </w:tc>
        <w:tc>
          <w:tcPr>
            <w:tcW w:type="dxa" w:w="3457"/>
            <w:tcMar>
              <w:top w:w="110" w:type="dxa"/>
              <w:start w:w="120" w:type="dxa"/>
              <w:bottom w:w="110" w:type="dxa"/>
              <w:end w:w="120" w:type="dxa"/>
            </w:tcMar>
          </w:tcPr>
          <w:p>
            <w:r>
              <w:t>Tanık listesi</w:t>
            </w:r>
          </w:p>
        </w:tc>
        <w:tc>
          <w:tcPr>
            <w:tcW w:type="dxa" w:w="3457"/>
            <w:tcMar>
              <w:top w:w="110" w:type="dxa"/>
              <w:start w:w="120" w:type="dxa"/>
              <w:bottom w:w="110" w:type="dxa"/>
              <w:end w:w="120" w:type="dxa"/>
            </w:tcMar>
          </w:tcPr>
          <w:p>
            <w:r>
              <w:t>Ödenmeyen tutarın hesaplanıp ödenmesi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Ücret alacağı zamanaşımı dolmadan başvurulur; dönemler ayrı gösterilir.</w:t>
      </w:r>
    </w:p>
    <w:p>
      <w:r>
        <w:t>• Görev/yetki riski: İşveren/insan kaynakları; ödeme olmazsa arabuluculuk bürosu</w:t>
      </w:r>
    </w:p>
    <w:p>
      <w:r>
        <w:t>• Ön koşul riski: Çalışma gün ve saatleri, ara dinlenmesi ve ödenen bordro kalemleri karşılaştırılır.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Fazla Mesai Alacağı Ödeme Talep Dilekçesi Örneği 2026 | Word İndir</dc:title>
  <dc:subject>fazla mesai alacağı talep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