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rFonts w:ascii="Garamond" w:hAnsi="Garamond"/>
          <w:b/>
          <w:color w:val="000000"/>
          <w:sz w:val="36"/>
        </w:rPr>
        <w:t>GÖREVDEN UZAKLAŞTIRMA İŞLEMİNE İTİRAZ DİLEKÇESİ</w:t>
      </w:r>
    </w:p>
    <w:p>
      <w:pPr>
        <w:spacing w:after="280" w:line="252" w:lineRule="auto"/>
        <w:jc w:val="center"/>
      </w:pPr>
      <w:r>
        <w:rPr>
          <w:rFonts w:ascii="Garamond" w:hAnsi="Garamond"/>
          <w:b/>
          <w:color w:val="000000"/>
          <w:sz w:val="24"/>
        </w:rPr>
        <w:t>[KURUM ADI] [TEDBİRİ KALDIRMAYA YETKİLİ MAKAMINA]</w:t>
      </w:r>
    </w:p>
    <w:p>
      <w:pPr>
        <w:spacing w:after="60" w:line="252" w:lineRule="auto"/>
        <w:jc w:val="both"/>
      </w:pPr>
      <w:r>
        <w:rPr>
          <w:rFonts w:ascii="Garamond" w:hAnsi="Garamond"/>
          <w:b/>
          <w:color w:val="000000"/>
          <w:sz w:val="22"/>
        </w:rPr>
        <w:t xml:space="preserve">BAŞVURAN  : </w:t>
      </w:r>
      <w:r>
        <w:rPr>
          <w:rFonts w:ascii="Garamond" w:hAnsi="Garamond"/>
          <w:b w:val="0"/>
          <w:color w:val="000000"/>
          <w:sz w:val="22"/>
        </w:rPr>
        <w:t>[Ad Soyad, sicil/personel numarası]</w:t>
      </w:r>
    </w:p>
    <w:p>
      <w:pPr>
        <w:spacing w:after="60" w:line="252" w:lineRule="auto"/>
        <w:jc w:val="both"/>
      </w:pPr>
      <w:r>
        <w:rPr>
          <w:rFonts w:ascii="Garamond" w:hAnsi="Garamond"/>
          <w:b/>
          <w:color w:val="000000"/>
          <w:sz w:val="22"/>
        </w:rPr>
        <w:t xml:space="preserve">GÖREV YERİ VE UNVANI  : </w:t>
      </w:r>
      <w:r>
        <w:rPr>
          <w:rFonts w:ascii="Garamond" w:hAnsi="Garamond"/>
          <w:b w:val="0"/>
          <w:color w:val="000000"/>
          <w:sz w:val="22"/>
        </w:rPr>
        <w:t>[Birim, unvan]</w:t>
      </w:r>
    </w:p>
    <w:p>
      <w:pPr>
        <w:spacing w:after="60" w:line="252" w:lineRule="auto"/>
        <w:jc w:val="both"/>
      </w:pPr>
      <w:r>
        <w:rPr>
          <w:rFonts w:ascii="Garamond" w:hAnsi="Garamond"/>
          <w:b/>
          <w:color w:val="000000"/>
          <w:sz w:val="22"/>
        </w:rPr>
        <w:t xml:space="preserve">İLETİŞİM  : </w:t>
      </w:r>
      <w:r>
        <w:rPr>
          <w:rFonts w:ascii="Garamond" w:hAnsi="Garamond"/>
          <w:b w:val="0"/>
          <w:color w:val="000000"/>
          <w:sz w:val="22"/>
        </w:rPr>
        <w:t>[Adres, telefon ve e-posta]</w:t>
      </w:r>
    </w:p>
    <w:p>
      <w:pPr>
        <w:spacing w:after="60" w:line="252" w:lineRule="auto"/>
        <w:jc w:val="both"/>
      </w:pPr>
      <w:r>
        <w:rPr>
          <w:rFonts w:ascii="Garamond" w:hAnsi="Garamond"/>
          <w:b/>
          <w:color w:val="000000"/>
          <w:sz w:val="22"/>
        </w:rPr>
        <w:t xml:space="preserve">İŞLEM  : </w:t>
      </w:r>
      <w:r>
        <w:rPr>
          <w:rFonts w:ascii="Garamond" w:hAnsi="Garamond"/>
          <w:b w:val="0"/>
          <w:color w:val="000000"/>
          <w:sz w:val="22"/>
        </w:rPr>
        <w:t>[Tarih ve sayı] bilgili görevden uzaklaştırma kararı</w:t>
      </w:r>
    </w:p>
    <w:p>
      <w:pPr>
        <w:spacing w:after="60" w:line="252" w:lineRule="auto"/>
        <w:jc w:val="both"/>
      </w:pPr>
      <w:r>
        <w:rPr>
          <w:rFonts w:ascii="Garamond" w:hAnsi="Garamond"/>
          <w:b/>
          <w:color w:val="000000"/>
          <w:sz w:val="22"/>
        </w:rPr>
        <w:t xml:space="preserve">TEBLİĞ TARİHİ  : </w:t>
      </w:r>
      <w:r>
        <w:rPr>
          <w:rFonts w:ascii="Garamond" w:hAnsi="Garamond"/>
          <w:b w:val="0"/>
          <w:color w:val="000000"/>
          <w:sz w:val="22"/>
        </w:rPr>
        <w:t>[gg.aa.yyyy]</w:t>
      </w:r>
    </w:p>
    <w:p>
      <w:pPr>
        <w:spacing w:after="60" w:line="252" w:lineRule="auto"/>
        <w:jc w:val="both"/>
      </w:pPr>
      <w:r>
        <w:rPr>
          <w:rFonts w:ascii="Garamond" w:hAnsi="Garamond"/>
          <w:b/>
          <w:color w:val="000000"/>
          <w:sz w:val="22"/>
        </w:rPr>
        <w:t xml:space="preserve">KONU  : </w:t>
      </w:r>
      <w:r>
        <w:rPr>
          <w:rFonts w:ascii="Garamond" w:hAnsi="Garamond"/>
          <w:b w:val="0"/>
          <w:color w:val="000000"/>
          <w:sz w:val="22"/>
        </w:rPr>
        <w:t>Görevden uzaklaştırma tedbirinin yeniden değerlendirilerek kaldırılması ve göreve iade talebidir.</w:t>
      </w:r>
    </w:p>
    <w:p>
      <w:pPr>
        <w:pStyle w:val="Heading1"/>
        <w:spacing w:before="160" w:after="120"/>
      </w:pPr>
      <w:r>
        <w:rPr>
          <w:rFonts w:ascii="Garamond" w:hAnsi="Garamond"/>
          <w:b/>
          <w:color w:val="000000"/>
          <w:sz w:val="22"/>
        </w:rPr>
        <w:t>AÇIKLAMALAR</w:t>
      </w:r>
    </w:p>
    <w:p>
      <w:pPr>
        <w:spacing w:after="100" w:line="252" w:lineRule="auto"/>
        <w:ind w:left="403" w:hanging="403"/>
        <w:jc w:val="both"/>
      </w:pPr>
      <w:r>
        <w:rPr>
          <w:rFonts w:ascii="Garamond" w:hAnsi="Garamond"/>
          <w:b/>
          <w:color w:val="000000"/>
          <w:sz w:val="22"/>
        </w:rPr>
        <w:t xml:space="preserve">1. </w:t>
      </w:r>
      <w:r>
        <w:rPr>
          <w:rFonts w:ascii="Garamond" w:hAnsi="Garamond"/>
          <w:b w:val="0"/>
          <w:color w:val="000000"/>
          <w:sz w:val="22"/>
        </w:rPr>
        <w:t>[Tarih ve sayı] bilgili işlem [tebliğ tarihi] tarihinde tarafıma tebliğ edilmiş; [disiplin soruşturması/ceza kovuşturması] gerekçesiyle görevden uzaklaştırılmış bulunmaktayım.</w:t>
      </w:r>
    </w:p>
    <w:p>
      <w:pPr>
        <w:spacing w:after="100" w:line="252" w:lineRule="auto"/>
        <w:ind w:left="403" w:hanging="403"/>
        <w:jc w:val="both"/>
      </w:pPr>
      <w:r>
        <w:rPr>
          <w:rFonts w:ascii="Garamond" w:hAnsi="Garamond"/>
          <w:b/>
          <w:color w:val="000000"/>
          <w:sz w:val="22"/>
        </w:rPr>
        <w:t xml:space="preserve">2. </w:t>
      </w:r>
      <w:r>
        <w:rPr>
          <w:rFonts w:ascii="Garamond" w:hAnsi="Garamond"/>
          <w:b w:val="0"/>
          <w:color w:val="000000"/>
          <w:sz w:val="22"/>
        </w:rPr>
        <w:t>Kararda görevde kalmamın soruşturma veya kamu hizmeti yönünden doğuracağı somut sakınca [gösterilmemiştir/artık ortadan kalkmıştır]. [Deliller toplanmış, tanıklar dinlenmiş, erişim yetkim kaldırılmış veya başka gelişme gerçekleşmiştir].</w:t>
      </w:r>
    </w:p>
    <w:p>
      <w:pPr>
        <w:spacing w:after="100" w:line="252" w:lineRule="auto"/>
        <w:ind w:left="403" w:hanging="403"/>
        <w:jc w:val="both"/>
      </w:pPr>
      <w:r>
        <w:rPr>
          <w:rFonts w:ascii="Garamond" w:hAnsi="Garamond"/>
          <w:b/>
          <w:color w:val="000000"/>
          <w:sz w:val="22"/>
        </w:rPr>
        <w:t xml:space="preserve">3. </w:t>
      </w:r>
      <w:r>
        <w:rPr>
          <w:rFonts w:ascii="Garamond" w:hAnsi="Garamond"/>
          <w:b w:val="0"/>
          <w:color w:val="000000"/>
          <w:sz w:val="22"/>
        </w:rPr>
        <w:t>[On iş günü içinde soruşturmaya başlanmamış/disiplin soruşturmasında üç aylık süre dolmuş/ceza kovuşturmasında iki aylık değerlendirme yapılmamış ya da sonucu bildirilmemiştir]. Tarihler ve belgeler ektedir.</w:t>
      </w:r>
    </w:p>
    <w:p>
      <w:pPr>
        <w:spacing w:after="100" w:line="252" w:lineRule="auto"/>
        <w:ind w:left="403" w:hanging="403"/>
        <w:jc w:val="both"/>
      </w:pPr>
      <w:r>
        <w:rPr>
          <w:rFonts w:ascii="Garamond" w:hAnsi="Garamond"/>
          <w:b/>
          <w:color w:val="000000"/>
          <w:sz w:val="22"/>
        </w:rPr>
        <w:t xml:space="preserve">4. </w:t>
      </w:r>
      <w:r>
        <w:rPr>
          <w:rFonts w:ascii="Garamond" w:hAnsi="Garamond"/>
          <w:b w:val="0"/>
          <w:color w:val="000000"/>
          <w:sz w:val="22"/>
        </w:rPr>
        <w:t>[Kovuşturmaya yer olmadığı/beraat/disiplin cezasına gerek olmadığı] yönündeki [tarih ve sayı] bilgili karar, tedbirin sebep ve amacını ortadan kaldırmıştır.</w:t>
      </w:r>
    </w:p>
    <w:p>
      <w:pPr>
        <w:spacing w:after="100" w:line="252" w:lineRule="auto"/>
        <w:ind w:left="403" w:hanging="403"/>
        <w:jc w:val="both"/>
      </w:pPr>
      <w:r>
        <w:rPr>
          <w:rFonts w:ascii="Garamond" w:hAnsi="Garamond"/>
          <w:b/>
          <w:color w:val="000000"/>
          <w:sz w:val="22"/>
        </w:rPr>
        <w:t xml:space="preserve">5. </w:t>
      </w:r>
      <w:r>
        <w:rPr>
          <w:rFonts w:ascii="Garamond" w:hAnsi="Garamond"/>
          <w:b w:val="0"/>
          <w:color w:val="000000"/>
          <w:sz w:val="22"/>
        </w:rPr>
        <w:t>Soruşturmanın sağlıklı yürütülmesi [erişim yetkisinin sınırlandırılması, farklı birimde geçici görevlendirme veya başka tedbir] ile sağlanabileceğinden görevden uzaklaştırmanın devamı gerekli ve ölçülü değildir.</w:t>
      </w:r>
    </w:p>
    <w:p>
      <w:pPr>
        <w:pStyle w:val="Heading1"/>
        <w:spacing w:before="160" w:after="120"/>
      </w:pPr>
      <w:r>
        <w:rPr>
          <w:rFonts w:ascii="Garamond" w:hAnsi="Garamond"/>
          <w:b/>
          <w:color w:val="000000"/>
          <w:sz w:val="22"/>
        </w:rPr>
        <w:t>HUKUKİ DAYANAK</w:t>
      </w:r>
    </w:p>
    <w:p>
      <w:pPr>
        <w:spacing w:after="100" w:line="252" w:lineRule="auto"/>
        <w:ind w:firstLine="605"/>
        <w:jc w:val="both"/>
      </w:pPr>
      <w:r>
        <w:rPr>
          <w:rFonts w:ascii="Garamond" w:hAnsi="Garamond"/>
          <w:b w:val="0"/>
          <w:color w:val="000000"/>
          <w:sz w:val="22"/>
        </w:rPr>
        <w:t>Türkiye Cumhuriyeti Anayasası m.2, 36 ve 125; 657 sayılı Devlet Memurları Kanunu m.137-145; 2577 sayılı İdari Yargılama Usulü Kanunu ve ilgili özel personel mevzuatı.</w:t>
      </w:r>
    </w:p>
    <w:p>
      <w:pPr>
        <w:pStyle w:val="Heading1"/>
        <w:spacing w:before="160" w:after="120"/>
      </w:pPr>
      <w:r>
        <w:rPr>
          <w:rFonts w:ascii="Garamond" w:hAnsi="Garamond"/>
          <w:b/>
          <w:color w:val="000000"/>
          <w:sz w:val="22"/>
        </w:rPr>
        <w:t>SONUÇ VE İSTEM</w:t>
      </w:r>
    </w:p>
    <w:p>
      <w:pPr>
        <w:spacing w:after="100" w:line="252" w:lineRule="auto"/>
        <w:ind w:firstLine="605"/>
        <w:jc w:val="both"/>
      </w:pPr>
      <w:r>
        <w:rPr>
          <w:rFonts w:ascii="Garamond" w:hAnsi="Garamond"/>
          <w:b w:val="0"/>
          <w:color w:val="000000"/>
          <w:sz w:val="22"/>
        </w:rPr>
        <w:t>Görevden uzaklaştırma tedbirinin güncel koşullar ve ekli belgeler ışığında yeniden değerlendirilerek kaldırılmasına, görevime iade edilmeme, kararın gerekçeli biçimde tarafıma bildirilmesine ve kanuni şartları oluşmuşsa kesilen aylık ve diğer mali haklarımın yasal faiziyle ödenmesine karar verilmesini saygıyla arz ederim. [Tarih]</w:t>
      </w:r>
    </w:p>
    <w:p>
      <w:pPr>
        <w:spacing w:after="40" w:line="252" w:lineRule="auto"/>
        <w:jc w:val="right"/>
      </w:pPr>
      <w:r>
        <w:rPr>
          <w:rFonts w:ascii="Garamond" w:hAnsi="Garamond"/>
          <w:b/>
          <w:color w:val="000000"/>
          <w:sz w:val="22"/>
        </w:rPr>
        <w:t>Başvuran</w:t>
      </w:r>
    </w:p>
    <w:p>
      <w:pPr>
        <w:spacing w:after="40" w:line="252" w:lineRule="auto"/>
        <w:jc w:val="right"/>
      </w:pPr>
      <w:r>
        <w:rPr>
          <w:rFonts w:ascii="Garamond" w:hAnsi="Garamond"/>
          <w:b w:val="0"/>
          <w:color w:val="000000"/>
          <w:sz w:val="22"/>
        </w:rPr>
        <w:t>[Ad Soyad]</w:t>
      </w:r>
    </w:p>
    <w:p>
      <w:pPr>
        <w:spacing w:after="200" w:line="252" w:lineRule="auto"/>
        <w:jc w:val="right"/>
      </w:pPr>
      <w:r>
        <w:rPr>
          <w:rFonts w:ascii="Garamond" w:hAnsi="Garamond"/>
          <w:b w:val="0"/>
          <w:color w:val="000000"/>
          <w:sz w:val="22"/>
        </w:rPr>
        <w:t>[İmza]</w:t>
      </w:r>
    </w:p>
    <w:p>
      <w:pPr>
        <w:pStyle w:val="Heading1"/>
        <w:spacing w:before="160" w:after="120"/>
      </w:pPr>
      <w:r>
        <w:rPr>
          <w:rFonts w:ascii="Garamond" w:hAnsi="Garamond"/>
          <w:b/>
          <w:color w:val="000000"/>
          <w:sz w:val="22"/>
        </w:rPr>
        <w:t>EKLER</w:t>
      </w:r>
    </w:p>
    <w:p>
      <w:pPr>
        <w:spacing w:after="100" w:line="252" w:lineRule="auto"/>
        <w:ind w:left="403" w:hanging="403"/>
        <w:jc w:val="both"/>
      </w:pPr>
      <w:r>
        <w:rPr>
          <w:rFonts w:ascii="Garamond" w:hAnsi="Garamond"/>
          <w:b/>
          <w:color w:val="000000"/>
          <w:sz w:val="22"/>
        </w:rPr>
        <w:t xml:space="preserve">1. </w:t>
      </w:r>
      <w:r>
        <w:rPr>
          <w:rFonts w:ascii="Garamond" w:hAnsi="Garamond"/>
          <w:b w:val="0"/>
          <w:color w:val="000000"/>
          <w:sz w:val="22"/>
        </w:rPr>
        <w:t>Görevden uzaklaştırma kararı ve tebliğ belgesi</w:t>
      </w:r>
    </w:p>
    <w:p>
      <w:pPr>
        <w:spacing w:after="100" w:line="252" w:lineRule="auto"/>
        <w:ind w:left="403" w:hanging="403"/>
        <w:jc w:val="both"/>
      </w:pPr>
      <w:r>
        <w:rPr>
          <w:rFonts w:ascii="Garamond" w:hAnsi="Garamond"/>
          <w:b/>
          <w:color w:val="000000"/>
          <w:sz w:val="22"/>
        </w:rPr>
        <w:t xml:space="preserve">2. </w:t>
      </w:r>
      <w:r>
        <w:rPr>
          <w:rFonts w:ascii="Garamond" w:hAnsi="Garamond"/>
          <w:b w:val="0"/>
          <w:color w:val="000000"/>
          <w:sz w:val="22"/>
        </w:rPr>
        <w:t>Soruşturma onayı veya bilinen dosya bilgileri</w:t>
      </w:r>
    </w:p>
    <w:p>
      <w:pPr>
        <w:spacing w:after="100" w:line="252" w:lineRule="auto"/>
        <w:ind w:left="403" w:hanging="403"/>
        <w:jc w:val="both"/>
      </w:pPr>
      <w:r>
        <w:rPr>
          <w:rFonts w:ascii="Garamond" w:hAnsi="Garamond"/>
          <w:b/>
          <w:color w:val="000000"/>
          <w:sz w:val="22"/>
        </w:rPr>
        <w:t xml:space="preserve">3. </w:t>
      </w:r>
      <w:r>
        <w:rPr>
          <w:rFonts w:ascii="Garamond" w:hAnsi="Garamond"/>
          <w:b w:val="0"/>
          <w:color w:val="000000"/>
          <w:sz w:val="22"/>
        </w:rPr>
        <w:t>İki aylık değerlendirme kararları [varsa]</w:t>
      </w:r>
    </w:p>
    <w:p>
      <w:pPr>
        <w:spacing w:after="100" w:line="252" w:lineRule="auto"/>
        <w:ind w:left="403" w:hanging="403"/>
        <w:jc w:val="both"/>
      </w:pPr>
      <w:r>
        <w:rPr>
          <w:rFonts w:ascii="Garamond" w:hAnsi="Garamond"/>
          <w:b/>
          <w:color w:val="000000"/>
          <w:sz w:val="22"/>
        </w:rPr>
        <w:t xml:space="preserve">4. </w:t>
      </w:r>
      <w:r>
        <w:rPr>
          <w:rFonts w:ascii="Garamond" w:hAnsi="Garamond"/>
          <w:b w:val="0"/>
          <w:color w:val="000000"/>
          <w:sz w:val="22"/>
        </w:rPr>
        <w:t>Kovuşturmaya yer olmadığı, beraat veya disiplin kararları [varsa]</w:t>
      </w:r>
    </w:p>
    <w:p>
      <w:pPr>
        <w:spacing w:after="100" w:line="252" w:lineRule="auto"/>
        <w:ind w:left="403" w:hanging="403"/>
        <w:jc w:val="both"/>
      </w:pPr>
      <w:r>
        <w:rPr>
          <w:rFonts w:ascii="Garamond" w:hAnsi="Garamond"/>
          <w:b/>
          <w:color w:val="000000"/>
          <w:sz w:val="22"/>
        </w:rPr>
        <w:t xml:space="preserve">5. </w:t>
      </w:r>
      <w:r>
        <w:rPr>
          <w:rFonts w:ascii="Garamond" w:hAnsi="Garamond"/>
          <w:b w:val="0"/>
          <w:color w:val="000000"/>
          <w:sz w:val="22"/>
        </w:rPr>
        <w:t>Lehe deliller ve görev/erişim kayıtları</w:t>
      </w:r>
    </w:p>
    <w:p>
      <w:pPr>
        <w:spacing w:after="100" w:line="252" w:lineRule="auto"/>
        <w:ind w:left="403" w:hanging="403"/>
        <w:jc w:val="both"/>
      </w:pPr>
      <w:r>
        <w:rPr>
          <w:rFonts w:ascii="Garamond" w:hAnsi="Garamond"/>
          <w:b/>
          <w:color w:val="000000"/>
          <w:sz w:val="22"/>
        </w:rPr>
        <w:t xml:space="preserve">6. </w:t>
      </w:r>
      <w:r>
        <w:rPr>
          <w:rFonts w:ascii="Garamond" w:hAnsi="Garamond"/>
          <w:b w:val="0"/>
          <w:color w:val="000000"/>
          <w:sz w:val="22"/>
        </w:rPr>
        <w:t>Diğer belgeler</w:t>
      </w:r>
    </w:p>
    <w:p>
      <w:pPr>
        <w:pStyle w:val="Heading1"/>
        <w:spacing w:before="160" w:after="120"/>
      </w:pPr>
      <w:r>
        <w:rPr>
          <w:rFonts w:ascii="Garamond" w:hAnsi="Garamond"/>
          <w:b/>
          <w:color w:val="000000"/>
          <w:sz w:val="22"/>
        </w:rPr>
        <w:t>UYARLAMA VE BAŞVURU NOTLARI</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Tedbirin disiplin soruşturmasına mı ceza kovuşturmasına mı dayandığını işlemden belirleyin.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On iş günü, üç ay ve iki aylık değerlendirme kurallarından yalnız somut dosyaya uyanı bırakın.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Görevde kalma sakıncasının neden bulunmadığını veya sonradan neden ortadan kalktığını belgeleyin.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Soruşturma gizliliğini ve üçüncü kişilerin kişisel verilerini ihlal eden ekler sunmayın.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İdari başvurunun dava süresine etkisini tebliğ tarihi ve kalan süre üzerinden ayrıca hesaplayın.</w:t>
      </w:r>
    </w:p>
    <w:p>
      <w:pPr>
        <w:spacing w:after="100" w:line="252" w:lineRule="auto"/>
        <w:jc w:val="both"/>
      </w:pPr>
      <w:r>
        <w:rPr>
          <w:rFonts w:ascii="Garamond" w:hAnsi="Garamond"/>
          <w:b w:val="0"/>
          <w:color w:val="000000"/>
          <w:sz w:val="22"/>
        </w:rPr>
        <w:t>Güncelleme: 14 Eylül 2026. Örnek 657 sayılı Kanun m.137-145 ve İYUK hükümleri dikkate alınarak hazırlanmıştır. Özel personel mevzuatı ayrıca kontrol edilmelidir.</w:t>
      </w:r>
    </w:p>
    <w:sectPr w:rsidR="00FC693F" w:rsidRPr="0006063C" w:rsidSect="00034616">
      <w:footerReference w:type="default" r:id="rId9"/>
      <w:pgSz w:w="12240" w:h="15840"/>
      <w:pgMar w:top="1224" w:right="1325" w:bottom="1152"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aramond" w:hAnsi="Garamond"/>
        <w:b w:val="0"/>
        <w:color w:val="000000"/>
        <w:sz w:val="18"/>
      </w:rPr>
      <w:t xml:space="preserve">halilbakirci.av.tr  |  Bilgilendirme amaçlı örnek  |  Sayfa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aramond" w:hAnsi="Garamond"/>
      <w:b/>
      <w:bCs/>
      <w:color w:val="000000"/>
      <w:sz w:val="22"/>
      <w:szCs w:val="28"/>
      <w:u w:val="single"/>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aramond" w:hAnsi="Garamond"/>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Görevden Uzaklaştırma İşlemine İtiraz Dilekçesi 2026</dc:title>
  <dc:subject>Görevden uzaklaştırma tedbirinin kaldırılması ve göreve iade talebi</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