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GSM HAT VE MOBIL ABONELIK FESIH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MOBIL IŞLETMECI; GEREKTIĞINDE BTK TÜKETICI ŞIKÂYET SISTEMI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Mert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Banka / Satıcı / Sigorta A.Ş.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Başvuru No: 2026-80153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GSM Hat ve Mobil Abonelik Fesih Dilekçesi kapsamında hattın güvenli biçimde kapatılması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11.02.2026 — gerçek belge tarihini yazınız</w:t>
            </w:r>
          </w:p>
        </w:tc>
      </w:tr>
    </w:tbl>
    <w:p>
      <w:pPr>
        <w:pStyle w:val="Heading1"/>
      </w:pPr>
      <w:r>
        <w:t>AÇIKLAMALAR</w:t>
      </w:r>
    </w:p>
    <w:p>
      <w:pPr>
        <w:keepLines w:val="0"/>
        <w:ind w:firstLine="340"/>
      </w:pPr>
      <w:r>
        <w:rPr>
          <w:b/>
          <w:color w:val="1E3A8A"/>
        </w:rPr>
        <w:t xml:space="preserve">1. </w:t>
      </w:r>
      <w:r>
        <w:t>Örnek olayda Kullanılmayan mobil hattın kapatılması ve fesih sonrası ücret yansıtılmaması talep edilir. Başvurucu, uyuşmazlığı 11.02.2026 tarihinde öğrenmiş; ilk yazılı başvurusunu 20.03.2026 tarihinde yapmıştır. Bu tarihler yalnız örnek olup gerçek dosyadaki tebliğ, öğrenme veya işlem tarihleriyle değiştirilmelidir.</w:t>
      </w:r>
    </w:p>
    <w:p>
      <w:pPr>
        <w:keepLines w:val="0"/>
        <w:ind w:firstLine="340"/>
      </w:pPr>
      <w:r>
        <w:rPr>
          <w:b/>
          <w:color w:val="1E3A8A"/>
        </w:rPr>
        <w:t xml:space="preserve">2. </w:t>
      </w:r>
      <w:r>
        <w:t>Telefon ve müşteri numarası tarih, yer, kişi ve belge bağlantısıyla açıklanır. Telefon ve müşteri numarası bakımından olayın başlangıcı, tarafların sıfatı ve işlem tarihi birlikte gösterilmiştir. Bu olgu Kimlik ile doğrulanmakta; belge Ek-1 olarak sunulmaktadır.</w:t>
      </w:r>
    </w:p>
    <w:p>
      <w:pPr>
        <w:keepLines w:val="0"/>
        <w:ind w:firstLine="340"/>
      </w:pPr>
      <w:r>
        <w:rPr>
          <w:b/>
          <w:color w:val="1E3A8A"/>
        </w:rPr>
        <w:t xml:space="preserve">3. </w:t>
      </w:r>
      <w:r>
        <w:t>Abonelik sahibi tarih, yer, kişi ve belge bağlantısıyla açıklanır. Abonelik sahibi yönünden yalnız sonuç belirtilmemiş, işlemin nasıl gerçekleştiği ve başvurucunun hangi hakkının etkilendiği açıklanmıştır. Abonelik sözleşmesi, iddiayı doğrulayan temel kayıt olarak Ek-2 numarasıyla dosyaya eklenmiştir.</w:t>
      </w:r>
    </w:p>
    <w:p>
      <w:pPr>
        <w:keepLines w:val="0"/>
        <w:ind w:firstLine="340"/>
      </w:pPr>
      <w:r>
        <w:rPr>
          <w:b/>
          <w:color w:val="1E3A8A"/>
        </w:rPr>
        <w:t xml:space="preserve">4. </w:t>
      </w:r>
      <w:r>
        <w:t>Fesih tarihi tarih, yer, kişi ve belge bağlantısıyla açıklanır. Fesih tarihi somutlaştırılırken tarih sırası korunmuş ve karşı tarafın ya da kurumun işlemi açıkça gösterilmiştir. Faturalar üzerinde yer alan tarih ve kayıt numarası dilekçedeki anlatımla uyumludur.</w:t>
      </w:r>
    </w:p>
    <w:p>
      <w:pPr>
        <w:keepLines w:val="0"/>
        <w:ind w:firstLine="340"/>
      </w:pPr>
      <w:r>
        <w:rPr>
          <w:b/>
          <w:color w:val="1E3A8A"/>
        </w:rPr>
        <w:t xml:space="preserve">5. </w:t>
      </w:r>
      <w:r>
        <w:t>Taahhüt/cihaz borcu tarih, yer, kişi ve belge bağlantısıyla açıklanır. Taahhüt/cihaz borcu başlığı altında başvurunun hukuki yararı açıklanmıştır. İstenen sonucun neden gerekli olduğu, Cihaz taksit bilgisi ile talep arasındaki bağlantı kurularak gösterilmiştir.</w:t>
      </w:r>
    </w:p>
    <w:p>
      <w:pPr>
        <w:keepLines w:val="0"/>
        <w:ind w:firstLine="340"/>
      </w:pPr>
      <w:r>
        <w:rPr>
          <w:b/>
          <w:color w:val="1E3A8A"/>
        </w:rPr>
        <w:t xml:space="preserve">6. </w:t>
      </w:r>
      <w:r>
        <w:t>SIM ve numara durumu tarih, yer, kişi ve belge bağlantısıyla açıklanır. SIM ve numara durumu konusunda örnek olayın özel koşulları belirtilmiş; varsayıma dayalı ifade kullanılmamıştır. Başvuru teslim kaydı mevcut değilse belgenin hangi kurumdan ve hangi dönem için getirtilmesi istendiği ayrıca yazılmalıdır.</w:t>
      </w:r>
    </w:p>
    <w:p>
      <w:pPr>
        <w:pStyle w:val="Heading1"/>
      </w:pPr>
      <w:r>
        <w:t>HUKUKİ DEĞERLENDİRME</w:t>
      </w:r>
    </w:p>
    <w:p>
      <w:r>
        <w:t>Başvurunun hukuki dayanağı 5809 sayılı Kanun; 6502 sayılı Kanun; Abonelik Sözleşmeleri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5809 sayılı Kanun</w:t>
      </w:r>
    </w:p>
    <w:p>
      <w:r>
        <w:t>5809 sayılı Kanun hükümleri başvurunun maddi ve usul şartlarını belirler. Güncel resmî metin, tebliğ ve işlem tarihinde birlikte değerlendirilir.</w:t>
      </w:r>
    </w:p>
    <w:p>
      <w:pPr>
        <w:pStyle w:val="Heading2"/>
      </w:pPr>
      <w:r>
        <w:t>6502 sayılı Kanun</w:t>
      </w:r>
    </w:p>
    <w:p>
      <w:r>
        <w:t>6502 sayılı Kanun hükümleri başvurunun maddi ve usul şartlarını belirler. Güncel resmî metin, tebliğ ve işlem tarihinde birlikte değerlendirilir.</w:t>
      </w:r>
    </w:p>
    <w:p>
      <w:pPr>
        <w:pStyle w:val="Heading2"/>
      </w:pPr>
      <w:r>
        <w:t>Abonelik Sözleşmeleri Yönetmeliği</w:t>
      </w:r>
    </w:p>
    <w:p>
      <w:r>
        <w:t>Abonelik Sözleşmeleri Yönetmeliği hükümleri başvurunun maddi ve usul şartlarını belirler. Güncel resmî metin, tebliğ ve işlem tarihinde birlikte değerlendirilir.</w:t>
      </w:r>
    </w:p>
    <w:p>
      <w:pPr>
        <w:pStyle w:val="Heading1"/>
      </w:pPr>
      <w:r>
        <w:t>DELİLLER</w:t>
      </w:r>
    </w:p>
    <w:p>
      <w:r>
        <w:t>1. Ek-1: Kimlik — ilgili olay paragrafını doğrulayan tarihli ve okunaklı kayıt.</w:t>
      </w:r>
    </w:p>
    <w:p>
      <w:r>
        <w:t>2. Ek-2: Abonelik sözleşmesi — ilgili olay paragrafını doğrulayan tarihli ve okunaklı kayıt.</w:t>
      </w:r>
    </w:p>
    <w:p>
      <w:r>
        <w:t>3. Ek-3: Faturalar — ilgili olay paragrafını doğrulayan tarihli ve okunaklı kayıt.</w:t>
      </w:r>
    </w:p>
    <w:p>
      <w:r>
        <w:t>4. Ek-4: Cihaz taksit bilgisi — ilgili olay paragrafını doğrulayan tarihli ve okunaklı kayıt.</w:t>
      </w:r>
    </w:p>
    <w:p>
      <w:r>
        <w:t>5. Ek-5: Başvuru teslim kaydı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5809 sayılı Kanun; 6502 sayılı Kanun; Abonelik Sözleşmeleri Yönetmeliği ve somut olaya uygulanacak diğer mevzuat.</w:t>
      </w:r>
    </w:p>
    <w:p>
      <w:pPr>
        <w:pStyle w:val="Heading1"/>
      </w:pPr>
      <w:r>
        <w:t>SONUÇ VE İSTEM</w:t>
      </w:r>
    </w:p>
    <w:p>
      <w:pPr>
        <w:keepNext/>
      </w:pPr>
      <w:r>
        <w:t>Yukarıda açıklanan ve resen dikkate alınacak nedenlerle;</w:t>
      </w:r>
    </w:p>
    <w:p>
      <w:r>
        <w:t>1. Hattın güvenli biçimde kapatılması.</w:t>
      </w:r>
    </w:p>
    <w:p>
      <w:r>
        <w:t>2. Faturalamanın sonlandırılması.</w:t>
      </w:r>
    </w:p>
    <w:p>
      <w:r>
        <w:t>3. Son borç ve cayma bedeli hesabının açıklanması.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20.03.2026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Mert Yılmaz</w:t>
              <w:br/>
              <w:t>İmza</w:t>
            </w:r>
          </w:p>
        </w:tc>
      </w:tr>
    </w:tbl>
    <w:p>
      <w:pPr>
        <w:pStyle w:val="Heading1"/>
      </w:pPr>
      <w:r>
        <w:t>EKLER</w:t>
      </w:r>
    </w:p>
    <w:p>
      <w:r>
        <w:t>1. Kimlik</w:t>
      </w:r>
    </w:p>
    <w:p>
      <w:r>
        <w:t>2. Abonelik sözleşmesi</w:t>
      </w:r>
    </w:p>
    <w:p>
      <w:r>
        <w:t>3. Faturalar</w:t>
      </w:r>
    </w:p>
    <w:p>
      <w:r>
        <w:t>4. Cihaz taksit bilgisi</w:t>
      </w:r>
    </w:p>
    <w:p>
      <w:r>
        <w:t>5. Başvuru teslim kaydı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Mobil işletmeci; gerektiğinde BTK Tüketici Şikâyet Sistemi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Fesih her zaman bildirilebilir; hat güvenliği ve son fatura için teslim kaydı saklanır.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Hat numarası, abonelik sahibi, cihaz/taahhüt ve numara taşıma durumu kontrol edilir.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11.02.2026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Kimlik</w:t>
            </w:r>
          </w:p>
        </w:tc>
      </w:tr>
      <w:tr>
        <w:tc>
          <w:tcPr>
            <w:tcW w:type="dxa" w:w="3457"/>
            <w:tcMar>
              <w:top w:w="110" w:type="dxa"/>
              <w:start w:w="120" w:type="dxa"/>
              <w:bottom w:w="110" w:type="dxa"/>
              <w:end w:w="120" w:type="dxa"/>
            </w:tcMar>
          </w:tcPr>
          <w:p>
            <w:r>
              <w:t>20.03.2026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Abonelik sözleşmesi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Faturalar</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Telefon ve müşteri numarası</w:t>
            </w:r>
          </w:p>
        </w:tc>
        <w:tc>
          <w:tcPr>
            <w:tcW w:type="dxa" w:w="3457"/>
            <w:tcMar>
              <w:top w:w="110" w:type="dxa"/>
              <w:start w:w="120" w:type="dxa"/>
              <w:bottom w:w="110" w:type="dxa"/>
              <w:end w:w="120" w:type="dxa"/>
            </w:tcMar>
          </w:tcPr>
          <w:p>
            <w:r>
              <w:t>Kimlik</w:t>
            </w:r>
          </w:p>
        </w:tc>
        <w:tc>
          <w:tcPr>
            <w:tcW w:type="dxa" w:w="3457"/>
            <w:tcMar>
              <w:top w:w="110" w:type="dxa"/>
              <w:start w:w="120" w:type="dxa"/>
              <w:bottom w:w="110" w:type="dxa"/>
              <w:end w:w="120" w:type="dxa"/>
            </w:tcMar>
          </w:tcPr>
          <w:p>
            <w:r>
              <w:t>Hattın güvenli biçimde kapatılması</w:t>
            </w:r>
          </w:p>
        </w:tc>
      </w:tr>
      <w:tr>
        <w:tc>
          <w:tcPr>
            <w:tcW w:type="dxa" w:w="3457"/>
            <w:tcMar>
              <w:top w:w="110" w:type="dxa"/>
              <w:start w:w="120" w:type="dxa"/>
              <w:bottom w:w="110" w:type="dxa"/>
              <w:end w:w="120" w:type="dxa"/>
            </w:tcMar>
          </w:tcPr>
          <w:p>
            <w:r>
              <w:t>Abonelik sahibi</w:t>
            </w:r>
          </w:p>
        </w:tc>
        <w:tc>
          <w:tcPr>
            <w:tcW w:type="dxa" w:w="3457"/>
            <w:tcMar>
              <w:top w:w="110" w:type="dxa"/>
              <w:start w:w="120" w:type="dxa"/>
              <w:bottom w:w="110" w:type="dxa"/>
              <w:end w:w="120" w:type="dxa"/>
            </w:tcMar>
          </w:tcPr>
          <w:p>
            <w:r>
              <w:t>Abonelik sözleşmesi</w:t>
            </w:r>
          </w:p>
        </w:tc>
        <w:tc>
          <w:tcPr>
            <w:tcW w:type="dxa" w:w="3457"/>
            <w:tcMar>
              <w:top w:w="110" w:type="dxa"/>
              <w:start w:w="120" w:type="dxa"/>
              <w:bottom w:w="110" w:type="dxa"/>
              <w:end w:w="120" w:type="dxa"/>
            </w:tcMar>
          </w:tcPr>
          <w:p>
            <w:r>
              <w:t>Faturalamanın sonlandırılması</w:t>
            </w:r>
          </w:p>
        </w:tc>
      </w:tr>
      <w:tr>
        <w:tc>
          <w:tcPr>
            <w:tcW w:type="dxa" w:w="3457"/>
            <w:tcMar>
              <w:top w:w="110" w:type="dxa"/>
              <w:start w:w="120" w:type="dxa"/>
              <w:bottom w:w="110" w:type="dxa"/>
              <w:end w:w="120" w:type="dxa"/>
            </w:tcMar>
          </w:tcPr>
          <w:p>
            <w:r>
              <w:t>Fesih tarihi</w:t>
            </w:r>
          </w:p>
        </w:tc>
        <w:tc>
          <w:tcPr>
            <w:tcW w:type="dxa" w:w="3457"/>
            <w:tcMar>
              <w:top w:w="110" w:type="dxa"/>
              <w:start w:w="120" w:type="dxa"/>
              <w:bottom w:w="110" w:type="dxa"/>
              <w:end w:w="120" w:type="dxa"/>
            </w:tcMar>
          </w:tcPr>
          <w:p>
            <w:r>
              <w:t>Faturalar</w:t>
            </w:r>
          </w:p>
        </w:tc>
        <w:tc>
          <w:tcPr>
            <w:tcW w:type="dxa" w:w="3457"/>
            <w:tcMar>
              <w:top w:w="110" w:type="dxa"/>
              <w:start w:w="120" w:type="dxa"/>
              <w:bottom w:w="110" w:type="dxa"/>
              <w:end w:w="120" w:type="dxa"/>
            </w:tcMar>
          </w:tcPr>
          <w:p>
            <w:r>
              <w:t>Son borç ve cayma bedeli hesabının açıklanması</w:t>
            </w:r>
          </w:p>
        </w:tc>
      </w:tr>
      <w:tr>
        <w:tc>
          <w:tcPr>
            <w:tcW w:type="dxa" w:w="3457"/>
            <w:tcMar>
              <w:top w:w="110" w:type="dxa"/>
              <w:start w:w="120" w:type="dxa"/>
              <w:bottom w:w="110" w:type="dxa"/>
              <w:end w:w="120" w:type="dxa"/>
            </w:tcMar>
          </w:tcPr>
          <w:p>
            <w:r>
              <w:t>Taahhüt/cihaz borcu</w:t>
            </w:r>
          </w:p>
        </w:tc>
        <w:tc>
          <w:tcPr>
            <w:tcW w:type="dxa" w:w="3457"/>
            <w:tcMar>
              <w:top w:w="110" w:type="dxa"/>
              <w:start w:w="120" w:type="dxa"/>
              <w:bottom w:w="110" w:type="dxa"/>
              <w:end w:w="120" w:type="dxa"/>
            </w:tcMar>
          </w:tcPr>
          <w:p>
            <w:r>
              <w:t>Cihaz taksit bilgisi</w:t>
            </w:r>
          </w:p>
        </w:tc>
        <w:tc>
          <w:tcPr>
            <w:tcW w:type="dxa" w:w="3457"/>
            <w:tcMar>
              <w:top w:w="110" w:type="dxa"/>
              <w:start w:w="120" w:type="dxa"/>
              <w:bottom w:w="110" w:type="dxa"/>
              <w:end w:w="120" w:type="dxa"/>
            </w:tcMar>
          </w:tcPr>
          <w:p>
            <w:r>
              <w:t>Hattın güvenli biçimde kapatılması</w:t>
            </w:r>
          </w:p>
        </w:tc>
      </w:tr>
      <w:tr>
        <w:tc>
          <w:tcPr>
            <w:tcW w:type="dxa" w:w="3457"/>
            <w:tcMar>
              <w:top w:w="110" w:type="dxa"/>
              <w:start w:w="120" w:type="dxa"/>
              <w:bottom w:w="110" w:type="dxa"/>
              <w:end w:w="120" w:type="dxa"/>
            </w:tcMar>
          </w:tcPr>
          <w:p>
            <w:r>
              <w:t>SIM ve numara durumu</w:t>
            </w:r>
          </w:p>
        </w:tc>
        <w:tc>
          <w:tcPr>
            <w:tcW w:type="dxa" w:w="3457"/>
            <w:tcMar>
              <w:top w:w="110" w:type="dxa"/>
              <w:start w:w="120" w:type="dxa"/>
              <w:bottom w:w="110" w:type="dxa"/>
              <w:end w:w="120" w:type="dxa"/>
            </w:tcMar>
          </w:tcPr>
          <w:p>
            <w:r>
              <w:t>Başvuru teslim kaydı</w:t>
            </w:r>
          </w:p>
        </w:tc>
        <w:tc>
          <w:tcPr>
            <w:tcW w:type="dxa" w:w="3457"/>
            <w:tcMar>
              <w:top w:w="110" w:type="dxa"/>
              <w:start w:w="120" w:type="dxa"/>
              <w:bottom w:w="110" w:type="dxa"/>
              <w:end w:w="120" w:type="dxa"/>
            </w:tcMar>
          </w:tcPr>
          <w:p>
            <w:r>
              <w:t>Faturalamanın sonlandırılması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Fesih her zaman bildirilebilir; hat güvenliği ve son fatura için teslim kaydı saklanır.</w:t>
      </w:r>
    </w:p>
    <w:p>
      <w:r>
        <w:t>• Görev/yetki riski: Mobil işletmeci; gerektiğinde BTK Tüketici Şikâyet Sistemi</w:t>
      </w:r>
    </w:p>
    <w:p>
      <w:r>
        <w:t>• Ön koşul riski: Hat numarası, abonelik sahibi, cihaz/taahhüt ve numara taşıma durumu kontrol edilir.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GSM Hat ve Mobil Abonelik Fesih Dilekçesi Örneği 2026 | Word İndir</dc:title>
  <dc:subject>gsm abonelik iptal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