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4"/>
        </w:rPr>
        <w:t>T.C. MERSİN 1. ASLİYE TİCARET MAHKEMESİNE</w:t>
      </w:r>
    </w:p>
    <w:p>
      <w:r>
        <w:rPr>
          <w:b/>
        </w:rPr>
        <w:t>ESAS NO</w:t>
      </w:r>
      <w:r>
        <w:t xml:space="preserve"> : 2026/412 E. [Gerçek dosyaya göre değiştirin]</w:t>
      </w:r>
    </w:p>
    <w:p>
      <w:r>
        <w:rPr>
          <w:b/>
        </w:rPr>
        <w:t>TALEPTE BULUNAN DAVACI</w:t>
      </w:r>
      <w:r>
        <w:t xml:space="preserve"> : [Yazılım şirketi unvanı, vergi no ve adres]</w:t>
      </w:r>
    </w:p>
    <w:p>
      <w:r>
        <w:rPr>
          <w:b/>
        </w:rPr>
        <w:t>VEKİLİ</w:t>
      </w:r>
      <w:r>
        <w:t xml:space="preserve"> : Av. Halil BAKIRCI, Mersin Barosu Sicil No 3472</w:t>
      </w:r>
    </w:p>
    <w:p>
      <w:r>
        <w:rPr>
          <w:b/>
        </w:rPr>
        <w:t>DAVALI</w:t>
      </w:r>
      <w:r>
        <w:t xml:space="preserve"> : [Dağıtım şirketi unvanı ve adresi]</w:t>
      </w:r>
    </w:p>
    <w:p>
      <w:r>
        <w:rPr>
          <w:b/>
        </w:rPr>
        <w:t>KONU</w:t>
      </w:r>
      <w:r>
        <w:t xml:space="preserve"> : 11/02/2026 tarihli güvenli elektronik imzalı lisans sözleşmesinin HMK m. 205/3 uyarınca resen doğrulanması, inkârın HMK m. 210 sırasıyla incelenmesi ve belgenin HMK m. 205/2 kapsamında senet hükmünde değerlendirilmesi talebidir.</w:t>
      </w:r>
    </w:p>
    <w:p>
      <w:pPr>
        <w:keepNext/>
      </w:pPr>
      <w:r>
        <w:rPr>
          <w:b/>
        </w:rPr>
        <w:t>AÇIKLAMALAR</w:t>
      </w:r>
    </w:p>
    <w:p>
      <w:r>
        <w:t>1. Taraflar arasında 11/02/2026 tarihinde [sözleşme dosya adı] adlı üç yıllık kurumsal yazılım lisans sözleşmesi düzenlenmiştir. Aynı PDF dosyası davacı temsilcisi ile davalı şirket müdürü [ad-soyad] tarafından güvenli elektronik imzayla imzalanmıştır.</w:t>
      </w:r>
    </w:p>
    <w:p>
      <w:r>
        <w:t>2. Davalı lisans anahtarlarını teslim almış, [tarih] günü sistemi aktive etmiş ve ilk dönem bedelini ödemiştir. İkinci dönem bedeli ödenmeyince dava açılmıştır.</w:t>
      </w:r>
    </w:p>
    <w:p>
      <w:r>
        <w:t>3. Davalı, cevap dilekçesinde kâğıt çıktıda ıslak imza bulunmadığını ve müdürün sözleşmeyi imzalamadığını ileri sürmüştür. Davacı yalnız çıktıya değil; imza katmanlarını taşıyan orijinal elektronik dosyaya, ayrıntılı doğrulama raporuna ve sertifika verilerine dayanmaktadır.</w:t>
      </w:r>
    </w:p>
    <w:p>
      <w:r>
        <w:t>4. Orijinal dosyanın adı [....pdf], boyutu [.... bayt], SHA-256 hash değeri [....] olup Ek-1’deki veri taşıyıcısında ve UYAP’a elverdiği ölçüde elektronik olarak sunulmuştur.</w:t>
      </w:r>
    </w:p>
    <w:p>
      <w:pPr>
        <w:keepNext/>
      </w:pPr>
      <w:r>
        <w:rPr>
          <w:b/>
        </w:rPr>
        <w:t>DOĞRULANMASI İSTENEN TEKNİK BİLGİLER</w:t>
      </w:r>
    </w:p>
    <w:p>
      <w:r>
        <w:t>1. Her imza sahibinin adı, nitelikli elektronik sertifika seri numarası, sertifika hizmet sağlayıcısı ve sertifikanın geçerlilik dönemi.</w:t>
      </w:r>
    </w:p>
    <w:p>
      <w:r>
        <w:t>2. İmza zamanı, varsa zaman damgası, imza profili ve imzalama anındaki sertifika iptal/geçerlilik durumu.</w:t>
      </w:r>
    </w:p>
    <w:p>
      <w:r>
        <w:t>3. İmzaların belge içindeki kapsamı ile imzadan sonra veri değişikliği yapılıp yapılmadığı.</w:t>
      </w:r>
    </w:p>
    <w:p>
      <w:r>
        <w:t>4. İncelenen elektronik dosyanın adı, boyutu ve SHA-256 hash değerinin sunulan kayıtla aynı olup olmadığı.</w:t>
      </w:r>
    </w:p>
    <w:p>
      <w:pPr>
        <w:keepNext/>
      </w:pPr>
      <w:r>
        <w:rPr>
          <w:b/>
        </w:rPr>
        <w:t>HUKUKİ DEĞERLENDİRME</w:t>
      </w:r>
    </w:p>
    <w:p>
      <w:r>
        <w:t>1. HMK m. 205/2’ye göre usulüne göre güvenli elektronik imzayla oluşturulan elektronik veriler senet hükmündedir. HMK m. 205/3 uyarınca mahkeme, sunulan belgenin güvenli elektronik imzayla oluşturulup oluşturulmadığını resen inceler.</w:t>
      </w:r>
    </w:p>
    <w:p>
      <w:r>
        <w:t>2. 5070 sayılı Kanun m. 4; güvenli elektronik imzanın imza sahibine bağlı, yalnız onun tasarrufundaki araçla oluşturulan, nitelikli sertifikaya dayanan ve sonradan değişikliği tespit ettiren imza olduğunu düzenler. Aynı Kanunun 5. maddesi güvenli e-imzanın elle atılan imzayla aynı hukuki sonucu doğuracağını belirtir.</w:t>
      </w:r>
    </w:p>
    <w:p>
      <w:r>
        <w:t>3. Davalı inkârını sürdürürse HMK m. 210 uyarınca önce inkâr eden tarafın dinlenmesi, hâkimde kanaat oluşmazsa yalnız teknik doğrulama konularında bilirkişi incelemesi yapılması gerekir.</w:t>
      </w:r>
    </w:p>
    <w:p>
      <w:r>
        <w:t>4. Elektronik imzanın belirli kişiye ait olması ile bu kişinin şirketi temsil yetkisi ayrıdır. İmza tarihindeki [ticaret sicili kaydı] davalı müdürün [münferit/müşterek] temsil durumunu göstermektedir.</w:t>
      </w:r>
    </w:p>
    <w:p>
      <w:pPr>
        <w:keepNext/>
      </w:pPr>
      <w:r>
        <w:rPr>
          <w:b/>
        </w:rPr>
        <w:t>HUKUKİ NEDENLER</w:t>
      </w:r>
    </w:p>
    <w:p>
      <w:r>
        <w:t>6100 sayılı Hukuk Muhakemeleri Kanunu m. 199, 205, 210, 266; 5070 sayılı Elektronik İmza Kanunu m. 4, 5 ve ilgili mevzuat.</w:t>
      </w:r>
    </w:p>
    <w:p>
      <w:pPr>
        <w:keepNext/>
      </w:pPr>
      <w:r>
        <w:rPr>
          <w:b/>
        </w:rPr>
        <w:t>DELİLLER</w:t>
      </w:r>
    </w:p>
    <w:p>
      <w:r>
        <w:t>Orijinal güvenli elektronik imzalı sözleşme dosyası; hash teslim tutanağı; imza doğrulama raporu; nitelikli sertifika ve varsa zaman damgası bilgileri; e-posta/KEP gönderim kayıtları; lisans teslim ve aktivasyon kayıtları; ödeme dekontu; imza tarihindeki ticaret sicili ve temsil kayıtları; gerektiğinde teknik bilirkişi incelemesi ve ilgili diğer yasal deliller.</w:t>
      </w:r>
    </w:p>
    <w:p>
      <w:pPr>
        <w:keepNext/>
      </w:pPr>
      <w:r>
        <w:rPr>
          <w:b/>
        </w:rPr>
        <w:t>SONUÇ VE İSTEM</w:t>
      </w:r>
    </w:p>
    <w:p>
      <w:pPr>
        <w:keepLines/>
      </w:pPr>
      <w:r>
        <w:t>Açıklanan nedenlerle; (1) Ek-1’de sunulan [dosya adı] adlı, [boyut] ve [SHA-256] hash değerli orijinal elektronik sözleşmenin dosyaya alınmasına, (2) imza sahipleri, nitelikli sertifika seri numaraları, sağlayıcıları, imza zamanı, varsa zaman damgası, imza anındaki geçerlilik/iptal durumu ve imzadan sonra değişiklik bulunup bulunmadığının incelenmesine, (3) HMK m. 205/3 uyarınca belgenin güvenli elektronik imzayla oluşturulup oluşturulmadığının resen belirlenmesine, (4) davalı inkârını sürdürürse HMK m. 210 uyarınca davalı temsilcisinin dinlenmesine ve kanaat oluşmazsa yalnız teknik konularda bilirkişi incelemesi yaptırılmasına, (5) güvenli e-imza şartları doğrulandığında belgenin HMK m. 205/2 uyarınca senet hükmünde değerlendirilmesine; temsil yetkisi ve sözleşmenin esasına ilişkin savunmaların ayrıca incelenmesine karar verilmesini saygıyla arz ve talep ederiz. 30/09/2026</w:t>
      </w:r>
    </w:p>
    <w:p>
      <w:pPr>
        <w:jc w:val="right"/>
      </w:pPr>
      <w:r>
        <w:t>Davacı Vekili</w:t>
        <w:br/>
        <w:t>Av. Halil BAKIRCI</w:t>
        <w:br/>
        <w:t>Mersin Barosu Sicil No 3472</w:t>
        <w:br/>
        <w:t>(E-İMZALIDIR)</w:t>
      </w:r>
    </w:p>
    <w:p>
      <w:pPr>
        <w:keepNext/>
      </w:pPr>
      <w:r>
        <w:rPr>
          <w:b/>
        </w:rPr>
        <w:t>EKLER</w:t>
      </w:r>
    </w:p>
    <w:p>
      <w:pPr>
        <w:pStyle w:val="ListBullet"/>
      </w:pPr>
      <w:r>
        <w:t>Ek-1: Orijinal güvenli elektronik imzalı sözleşme dosyası/veri taşıyıcısı</w:t>
      </w:r>
    </w:p>
    <w:p>
      <w:pPr>
        <w:pStyle w:val="ListBullet"/>
      </w:pPr>
      <w:r>
        <w:t>Ek-2: Dosya adı, boyutu ve SHA-256 hash teslim tutanağı</w:t>
      </w:r>
    </w:p>
    <w:p>
      <w:pPr>
        <w:pStyle w:val="ListBullet"/>
      </w:pPr>
      <w:r>
        <w:t>Ek-3: Ayrıntılı elektronik imza doğrulama raporu</w:t>
      </w:r>
    </w:p>
    <w:p>
      <w:pPr>
        <w:pStyle w:val="ListBullet"/>
      </w:pPr>
      <w:r>
        <w:t>Ek-4: Nitelikli sertifika ve varsa zaman damgası bilgileri</w:t>
      </w:r>
    </w:p>
    <w:p>
      <w:pPr>
        <w:pStyle w:val="ListBullet"/>
      </w:pPr>
      <w:r>
        <w:t>Ek-5: E-posta/KEP gönderim ve teslim kayıtları</w:t>
      </w:r>
    </w:p>
    <w:p>
      <w:pPr>
        <w:pStyle w:val="ListBullet"/>
      </w:pPr>
      <w:r>
        <w:t>Ek-6: Lisans aktivasyon kaydı ve ilk dönem ödeme dekontu</w:t>
      </w:r>
    </w:p>
    <w:p>
      <w:pPr>
        <w:pStyle w:val="ListBullet"/>
      </w:pPr>
      <w:r>
        <w:t>Ek-7: İmza tarihindeki ticaret sicili ve temsil yetkisi kayıtları</w:t>
      </w:r>
    </w:p>
    <w:p>
      <w:pPr>
        <w:keepNext/>
      </w:pPr>
      <w:r>
        <w:rPr>
          <w:b/>
        </w:rPr>
        <w:t>DOLDURMA KONTROLÜ — SUNULACAK NÜSHADAN ÇIKARIN</w:t>
      </w:r>
    </w:p>
    <w:p>
      <w:pPr>
        <w:pStyle w:val="ListBullet"/>
      </w:pPr>
      <w:r>
        <w:rPr>
          <w:i/>
        </w:rPr>
        <w:t>Mahkeme, esas numarası, taraf ve vekil bilgilerini doğrulayın.</w:t>
      </w:r>
    </w:p>
    <w:p>
      <w:pPr>
        <w:pStyle w:val="ListBullet"/>
      </w:pPr>
      <w:r>
        <w:rPr>
          <w:i/>
        </w:rPr>
        <w:t>Elektronik dosya adı, boyutu ve SHA-256 hash değerini gerçek dosyadan alın.</w:t>
      </w:r>
    </w:p>
    <w:p>
      <w:pPr>
        <w:pStyle w:val="ListBullet"/>
      </w:pPr>
      <w:r>
        <w:rPr>
          <w:i/>
        </w:rPr>
        <w:t>Sertifika seri numarası, sağlayıcı ve imza tarihindeki durumu doğrulayın.</w:t>
      </w:r>
    </w:p>
    <w:p>
      <w:pPr>
        <w:pStyle w:val="ListBullet"/>
      </w:pPr>
      <w:r>
        <w:rPr>
          <w:i/>
        </w:rPr>
        <w:t>Zaman damgası yoksa varmış gibi yazmayın ve ilgili seçeneği çıkarın.</w:t>
      </w:r>
    </w:p>
    <w:p>
      <w:pPr>
        <w:pStyle w:val="ListBullet"/>
      </w:pPr>
      <w:r>
        <w:rPr>
          <w:i/>
        </w:rPr>
        <w:t>İmza tarihindeki şirket temsil şeklini ticaret sicilinden kontrol edin.</w:t>
      </w:r>
    </w:p>
    <w:p>
      <w:pPr>
        <w:pStyle w:val="ListBullet"/>
      </w:pPr>
      <w:r>
        <w:rPr>
          <w:i/>
        </w:rPr>
        <w:t>Köşeli alanları, kullanılmayan seçenekleri ve bu kontrol bölümünü nihai nüshadan çıkarın.</w:t>
      </w:r>
    </w:p>
    <w:sectPr w:rsidR="00FC693F" w:rsidRPr="0006063C" w:rsidSect="00034616">
      <w:pgSz w:w="12240" w:h="15840"/>
      <w:pgMar w:top="720" w:right="1008" w:bottom="691"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6" w:line="216"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