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HAKARET SUÇU ŞIKÂYET DILEKÇESI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MÜŞTEKİ	: </w:t>
      </w:r>
      <w:r>
        <w:rPr>
          <w:rFonts w:ascii="Times New Roman" w:hAnsi="Times New Roman" w:eastAsia="Times New Roman"/>
          <w:sz w:val="23"/>
          <w:szCs w:val="23"/>
        </w:rPr>
        <w:t xml:space="preserve">[AD SOYAD – T.C. KİMLİK NO]</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Hakaret eylemine ilişkin şikâyetin devam ettiğinin bildirilmesi, davaya katılma, dijital delillerin toplanması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mahkeme formatı, iddianamenin kabulüyle kovuşturma başladıktan sonra kullanılır. İlk şikâyet CMK m.158 uyarınca Cumhuriyet Başsavcılığına veya kolluğa yapılır.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Katılan, [TARİH] tarihinde [WHATSAPP/SMS/SOSYAL MEDYA] üzerinden sanık tarafından gönderilen ve onur, şeref ve saygınlığı hedef alan ifadeleri öğrenmiştir. Mesajların hangi hesap/telefon numarasından gönderildiği, gönderim saatleri ve bütün konuşma akışı eklerde sunulmaktadır.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Hakaret teşkil eden ifadeler bağlamından koparılmamış; konuşmanın öncesi ve sonrası ile birlikte dosyaya alınmıştır. Böylece sözlerin eleştiri sınırında kalmadığı, doğrudan kişilik değerlerini hedef aldığı somut içerik üzerinden mahkemenin değerlendirmesine elverişli somut içerik oluşturur.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Dijital kayıtların silinme veya değiştirilme ihtimaline karşı cihaz ve hesap kayıtlarının korunması gerekmektedir. Gerektiğinde ilgili platformdan oturum/IP kayıtlarının, GSM işletmecisinden abonelik bilgilerinin ve cihaz imajının bilirkişi marifetiyle incelenmesi talep edilmektedir.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Eylemin üçüncü kişilerin görebildiği bir ortamda gerçekleştiği ileri sürülüyorsa, paylaşımın erişim kapsamı, görüntülenme/iletim kayıtları ve tanık anlatımları ayrıca değerlendirilmelidir. Katılanın şikâyet iradesi kesintisiz devam etmektedir.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mahkeme formatı, iddianamenin kabulüyle kovuşturma başladıktan sonra kullanılır. İlk şikâyet CMK m.158 uyarınca Cumhuriyet Başsavcılığına veya kolluğa yapılır.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Mesaj ve ekran kayıtları, Cihaz incelemesi ve bilirkişi raporu, Platform/GSM kayıtları, Tanık beyanları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Hakaret Suçu Şikâyet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talebimizin kabulüne; Dijital delillerin kaybolmadan toplanmasına ve gerektiğinde bilirkişi incelemesi yaptırılmasına; Sanığın eylemine uyan hükümler uyarınca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hakaret suçu şikâyet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Türk Ceza Kanunu m.125, m.131, m.73; 5271 sayılı Ceza Muhakemesi Kanunu m.158, m.234, m.237 ve devamı ile ilgili sair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Mesaj ve ekran kayıtları</w:t>
      </w:r>
    </w:p>
    <w:p>
      <w:pPr>
        <w:jc w:val="left"/>
        <w:spacing w:before="0" w:after="60" w:line="276" w:lineRule="auto"/>
      </w:pPr>
      <w:r>
        <w:rPr>
          <w:rFonts w:ascii="Times New Roman" w:hAnsi="Times New Roman" w:eastAsia="Times New Roman"/>
          <w:sz w:val="23"/>
          <w:szCs w:val="23"/>
        </w:rPr>
        <w:t xml:space="preserve">2. Cihaz incelemesi ve bilirkişi raporu</w:t>
      </w:r>
    </w:p>
    <w:p>
      <w:pPr>
        <w:jc w:val="left"/>
        <w:spacing w:before="0" w:after="60" w:line="276" w:lineRule="auto"/>
      </w:pPr>
      <w:r>
        <w:rPr>
          <w:rFonts w:ascii="Times New Roman" w:hAnsi="Times New Roman" w:eastAsia="Times New Roman"/>
          <w:sz w:val="23"/>
          <w:szCs w:val="23"/>
        </w:rPr>
        <w:t xml:space="preserve">3. Platform/GSM kayıtları</w:t>
      </w:r>
    </w:p>
    <w:p>
      <w:pPr>
        <w:jc w:val="left"/>
        <w:spacing w:before="0" w:after="60" w:line="276" w:lineRule="auto"/>
      </w:pPr>
      <w:r>
        <w:rPr>
          <w:rFonts w:ascii="Times New Roman" w:hAnsi="Times New Roman" w:eastAsia="Times New Roman"/>
          <w:sz w:val="23"/>
          <w:szCs w:val="23"/>
        </w:rPr>
        <w:t xml:space="preserve">4. Tanık beyanları</w:t>
      </w:r>
    </w:p>
    <w:p>
      <w:pPr>
        <w:jc w:val="left"/>
        <w:spacing w:before="0" w:after="60" w:line="276" w:lineRule="auto"/>
      </w:pPr>
      <w:r>
        <w:rPr>
          <w:rFonts w:ascii="Times New Roman" w:hAnsi="Times New Roman" w:eastAsia="Times New Roman"/>
          <w:sz w:val="23"/>
          <w:szCs w:val="23"/>
        </w:rPr>
        <w:t xml:space="preserve">5. Noter veya e-tespit kayıtları varsa</w:t>
      </w:r>
    </w:p>
    <w:p>
      <w:pPr>
        <w:jc w:val="left"/>
        <w:spacing w:before="0" w:after="60" w:line="276" w:lineRule="auto"/>
      </w:pPr>
      <w:r>
        <w:rPr>
          <w:rFonts w:ascii="Times New Roman" w:hAnsi="Times New Roman" w:eastAsia="Times New Roman"/>
          <w:sz w:val="23"/>
          <w:szCs w:val="23"/>
        </w:rPr>
        <w:t xml:space="preserve">6. Soruşturma ve kovuşturma dosyası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talebimizin kabulüne,</w:t>
      </w:r>
    </w:p>
    <w:p>
      <w:pPr>
        <w:jc w:val="both"/>
        <w:spacing w:before="0" w:after="60" w:line="276" w:lineRule="auto"/>
      </w:pPr>
      <w:r>
        <w:rPr>
          <w:rFonts w:ascii="Times New Roman" w:hAnsi="Times New Roman" w:eastAsia="Times New Roman"/>
          <w:sz w:val="23"/>
          <w:szCs w:val="23"/>
        </w:rPr>
        <w:t xml:space="preserve">2. Dijital delillerin kaybolmadan toplanmasına ve gerektiğinde bilirkişi incelemesi yaptırılmasına,</w:t>
      </w:r>
    </w:p>
    <w:p>
      <w:pPr>
        <w:jc w:val="both"/>
        <w:spacing w:before="0" w:after="60" w:line="276" w:lineRule="auto"/>
      </w:pPr>
      <w:r>
        <w:rPr>
          <w:rFonts w:ascii="Times New Roman" w:hAnsi="Times New Roman" w:eastAsia="Times New Roman"/>
          <w:sz w:val="23"/>
          <w:szCs w:val="23"/>
        </w:rPr>
        <w:t xml:space="preserve">3. Sanığın eylemine uyan hükümler uyarınca cezalandırılmasına,</w:t>
      </w:r>
    </w:p>
    <w:p>
      <w:pPr>
        <w:jc w:val="both"/>
        <w:spacing w:before="0" w:after="60" w:line="276" w:lineRule="auto"/>
      </w:pPr>
      <w:r>
        <w:rPr>
          <w:rFonts w:ascii="Times New Roman" w:hAnsi="Times New Roman" w:eastAsia="Times New Roman"/>
          <w:sz w:val="23"/>
          <w:szCs w:val="23"/>
        </w:rPr>
        <w:t xml:space="preserve">4. Yargılama giderleri ile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 Müşteki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Mesaj ve ekran kayıtları</w:t>
      </w:r>
    </w:p>
    <w:p>
      <w:pPr>
        <w:jc w:val="left"/>
        <w:spacing w:before="0" w:after="50" w:line="276" w:lineRule="auto"/>
      </w:pPr>
      <w:r>
        <w:rPr>
          <w:rFonts w:ascii="Times New Roman" w:hAnsi="Times New Roman" w:eastAsia="Times New Roman"/>
          <w:sz w:val="23"/>
          <w:szCs w:val="23"/>
        </w:rPr>
        <w:t xml:space="preserve">Ek-2: Cihaz incelemesi ve bilirkişi raporu</w:t>
      </w:r>
    </w:p>
    <w:p>
      <w:pPr>
        <w:jc w:val="left"/>
        <w:spacing w:before="0" w:after="50" w:line="276" w:lineRule="auto"/>
      </w:pPr>
      <w:r>
        <w:rPr>
          <w:rFonts w:ascii="Times New Roman" w:hAnsi="Times New Roman" w:eastAsia="Times New Roman"/>
          <w:sz w:val="23"/>
          <w:szCs w:val="23"/>
        </w:rPr>
        <w:t xml:space="preserve">Ek-3: Platform/GSM kayıtları</w:t>
      </w:r>
    </w:p>
    <w:p>
      <w:pPr>
        <w:jc w:val="left"/>
        <w:spacing w:before="0" w:after="50" w:line="276" w:lineRule="auto"/>
      </w:pPr>
      <w:r>
        <w:rPr>
          <w:rFonts w:ascii="Times New Roman" w:hAnsi="Times New Roman" w:eastAsia="Times New Roman"/>
          <w:sz w:val="23"/>
          <w:szCs w:val="23"/>
        </w:rPr>
        <w:t xml:space="preserve">Ek-4: Tanık beyanları</w:t>
      </w:r>
    </w:p>
    <w:p>
      <w:pPr>
        <w:jc w:val="left"/>
        <w:spacing w:before="0" w:after="50" w:line="276" w:lineRule="auto"/>
      </w:pPr>
      <w:r>
        <w:rPr>
          <w:rFonts w:ascii="Times New Roman" w:hAnsi="Times New Roman" w:eastAsia="Times New Roman"/>
          <w:sz w:val="23"/>
          <w:szCs w:val="23"/>
        </w:rPr>
        <w:t xml:space="preserve">Ek-5: Noter veya e-tespit kayıtları varsa</w:t>
      </w:r>
    </w:p>
    <w:p>
      <w:pPr>
        <w:jc w:val="left"/>
        <w:spacing w:before="0" w:after="50" w:line="276" w:lineRule="auto"/>
      </w:pPr>
      <w:r>
        <w:rPr>
          <w:rFonts w:ascii="Times New Roman" w:hAnsi="Times New Roman" w:eastAsia="Times New Roman"/>
          <w:sz w:val="23"/>
          <w:szCs w:val="23"/>
        </w:rPr>
        <w:t xml:space="preserve">Ek-6: Soruşturma ve kovuşturma dosyası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Hakaret Suçu Şikâyet Dilekçesi</dc:title>
  <dc:subject>Profesyonel örnek dilekçe – düzenlenebilir Word belgesi</dc:subject>
  <dc:creator>Av. Halil Bakırcı</dc:creator>
  <cp:lastModifiedBy>Av. Halil Bakırcı</cp:lastModifiedBy>
  <dcterms:created xsi:type="dcterms:W3CDTF">2026-09-10T22:17:52Z</dcterms:created>
  <dcterms:modified xsi:type="dcterms:W3CDTF">2026-09-10T22:17:52Z</dcterms:modified>
</cp:coreProperties>
</file>