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HÜKMÜN TAVZIHI DILEKÇESI</w:t>
      </w:r>
    </w:p>
    <w:p>
      <w:pPr>
        <w:jc w:val="center"/>
        <w:spacing w:before="120" w:after="220" w:line="276" w:lineRule="auto"/>
      </w:pPr>
      <w:r>
        <w:rPr>
          <w:rFonts w:ascii="Times New Roman" w:hAnsi="Times New Roman" w:eastAsia="Times New Roman"/>
          <w:b/>
          <w:sz w:val="25"/>
          <w:szCs w:val="25"/>
        </w:rPr>
        <w:t xml:space="preserve">[KARARI VEREN] [MAHKEME TÜRÜ]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[ESAS/KARAR NO]</w:t>
      </w:r>
    </w:p>
    <w:p>
      <w:pPr>
        <w:spacing w:after="60"/>
        <w:tabs>
          <w:tab w:val="left" w:pos="2700"/>
        </w:tabs>
      </w:pPr>
      <w:r>
        <w:rPr>
          <w:rFonts w:ascii="Times New Roman" w:hAnsi="Times New Roman" w:eastAsia="Times New Roman"/>
          <w:b/>
          <w:sz w:val="23"/>
          <w:szCs w:val="23"/>
        </w:rPr>
        <w:t xml:space="preserve">TALEPTE BULUNAN	: </w:t>
      </w:r>
      <w:r>
        <w:rPr>
          <w:rFonts w:ascii="Times New Roman" w:hAnsi="Times New Roman" w:eastAsia="Times New Roman"/>
          <w:sz w:val="23"/>
          <w:szCs w:val="23"/>
        </w:rPr>
        <w:t xml:space="preserve">[DAVACI/DAVALI]</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Hüküm fıkrasındaki belirsizlik/çelişkinin HMK m.305 kapsamında tavzihen açıklığa kavuşturulması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Tavzih yoluyla hükmün kapsamı değiştirilemez, yeni hak tanınamaz ve hüküm sonucu genişletilemez. Talep yalnız belirsiz/çelişkili kısmın açıklanmasına yöneltilmelidir.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Mahkemenizin [KARAR TARİHİ] tarihli [KARAR NO] sayılı kararının hüküm fıkrasında [BELİRSİZ/ÇELİŞKİLİ İFADE] yer almaktadır. Bu ifade kararın icrası/uygulanması sırasında tereddüt doğurmaktadır.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Gerekçede [AÇIKLAMA] belirtilmişken hüküm fıkrasında [FARKLI/ESKİK İFADE] kullanılmıştır. Talebimiz gerekçeye yeni bir sonuç eklenmesi değil, hüküm fıkrasının mevcut karar iradesiyle uyumlu biçimde açıklanmasıdır.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Belirsizlik nedeniyle icra müdürlüğü/kurum [TARİH] tarihli işleminde tereddüt yaşamış veya taraflar arasında farklı yorum ortaya çıkmıştır. İlgili kayıt ektedir.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Tavzih talebi kesin hükmü değiştirmeyeceğinden, yalnız [AÇIKLANMASI İSTENEN NOKTA] yönünden açıklama yapılması yeterlidir.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Usul dilekçelerinde mahkemenin ara kararı, tebligat tarihi ve kanuni/kesin süreler aynen dosya kayıtlarından alınmalıdır. Talep, esas uyuşmazlığı yeniden tartışmak yerine ilgili usul işleminin sınırları içinde kalmalıdır.</w:t>
      </w:r>
    </w:p>
    <w:p>
      <w:pPr>
        <w:jc w:val="both"/>
        <w:spacing w:before="0" w:after="130" w:line="276" w:lineRule="auto"/>
        <w:ind w:firstLine="360"/>
      </w:pPr>
      <w:r>
        <w:rPr>
          <w:rFonts w:ascii="Times New Roman" w:hAnsi="Times New Roman" w:eastAsia="Times New Roman"/>
          <w:sz w:val="23"/>
          <w:szCs w:val="23"/>
        </w:rPr>
        <w:t xml:space="preserve">6. Belge veya delil sunuluyorsa her ek numaralandırılmalı ve hangi işlem için sunulduğu açıklanmalıdır. UYAP üzerinden gönderimde evrak türü doğru seçilmeli, gönderim makbuzu dosyada saklanmalıdır.</w:t>
      </w:r>
    </w:p>
    <w:p>
      <w:pPr>
        <w:jc w:val="both"/>
        <w:spacing w:before="0" w:after="130" w:line="276" w:lineRule="auto"/>
        <w:ind w:firstLine="360"/>
      </w:pPr>
      <w:r>
        <w:rPr>
          <w:rFonts w:ascii="Times New Roman" w:hAnsi="Times New Roman" w:eastAsia="Times New Roman"/>
          <w:sz w:val="23"/>
          <w:szCs w:val="23"/>
        </w:rPr>
        <w:t xml:space="preserve">7. Talep sonucunun açık olması, mahkeme kaleminin ve hâkimin hangi işlemin istendiğini tek bakışta anlayabilmesi bakımından önemlidir. Birbirinden farklı usul talepleri varsa ayrı bentler halinde yazılmalıdır.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[KARARI VEREN] [MAHKEME TÜRÜ] MAHKEMESİ SAYIN HÂKİMLİĞİNE hitabıyla kurulmuştur. Somut dosyanın yetkili yeri, taraf sıfatı, dava şartı ve ön başvuru koşulları dosya belgeleri üzerinden ayrıca kontrol edilmelidir. Tavzih yoluyla hükmün kapsamı değiştirilemez, yeni hak tanınamaz ve hüküm sonucu genişletilemez. Talep yalnız belirsiz/çelişkili kısmın açıklanmasına yöneltilmelidir.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Gerekçeli karar, Tebliğ/kesinleşme kayıtları, İcra/kurum yazısı varsa, Taraf beyanları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Hükmün Tavzihi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Hüküm fıkrasındaki [İFADE] bölümünün HMK m.305 uyarınca tavzihine; Tavzih şerhli karar örneğinin taraflara tebliğine.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hükmün tavzihi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6100 sayılı HMK m.305, m.306 ve ilgili usul hükümleri.</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Gerekçeli karar</w:t>
      </w:r>
    </w:p>
    <w:p>
      <w:pPr>
        <w:jc w:val="left"/>
        <w:spacing w:before="0" w:after="60" w:line="276" w:lineRule="auto"/>
      </w:pPr>
      <w:r>
        <w:rPr>
          <w:rFonts w:ascii="Times New Roman" w:hAnsi="Times New Roman" w:eastAsia="Times New Roman"/>
          <w:sz w:val="23"/>
          <w:szCs w:val="23"/>
        </w:rPr>
        <w:t xml:space="preserve">2. Tebliğ/kesinleşme kayıtları</w:t>
      </w:r>
    </w:p>
    <w:p>
      <w:pPr>
        <w:jc w:val="left"/>
        <w:spacing w:before="0" w:after="60" w:line="276" w:lineRule="auto"/>
      </w:pPr>
      <w:r>
        <w:rPr>
          <w:rFonts w:ascii="Times New Roman" w:hAnsi="Times New Roman" w:eastAsia="Times New Roman"/>
          <w:sz w:val="23"/>
          <w:szCs w:val="23"/>
        </w:rPr>
        <w:t xml:space="preserve">3. İcra/kurum yazısı varsa</w:t>
      </w:r>
    </w:p>
    <w:p>
      <w:pPr>
        <w:jc w:val="left"/>
        <w:spacing w:before="0" w:after="60" w:line="276" w:lineRule="auto"/>
      </w:pPr>
      <w:r>
        <w:rPr>
          <w:rFonts w:ascii="Times New Roman" w:hAnsi="Times New Roman" w:eastAsia="Times New Roman"/>
          <w:sz w:val="23"/>
          <w:szCs w:val="23"/>
        </w:rPr>
        <w:t xml:space="preserve">4. Taraf beyanları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Hüküm fıkrasındaki [İFADE] bölümünün HMK m.305 uyarınca tavzihine,</w:t>
      </w:r>
    </w:p>
    <w:p>
      <w:pPr>
        <w:jc w:val="both"/>
        <w:spacing w:before="0" w:after="60" w:line="276" w:lineRule="auto"/>
      </w:pPr>
      <w:r>
        <w:rPr>
          <w:rFonts w:ascii="Times New Roman" w:hAnsi="Times New Roman" w:eastAsia="Times New Roman"/>
          <w:sz w:val="23"/>
          <w:szCs w:val="23"/>
        </w:rPr>
        <w:t xml:space="preserve">2. Tavzih şerhli karar örneğinin taraflara tebliğine,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Talepte Bulunan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Gerekçeli karar</w:t>
      </w:r>
    </w:p>
    <w:p>
      <w:pPr>
        <w:jc w:val="left"/>
        <w:spacing w:before="0" w:after="50" w:line="276" w:lineRule="auto"/>
      </w:pPr>
      <w:r>
        <w:rPr>
          <w:rFonts w:ascii="Times New Roman" w:hAnsi="Times New Roman" w:eastAsia="Times New Roman"/>
          <w:sz w:val="23"/>
          <w:szCs w:val="23"/>
        </w:rPr>
        <w:t xml:space="preserve">Ek-2: Tebliğ/kesinleşme kayıtları</w:t>
      </w:r>
    </w:p>
    <w:p>
      <w:pPr>
        <w:jc w:val="left"/>
        <w:spacing w:before="0" w:after="50" w:line="276" w:lineRule="auto"/>
      </w:pPr>
      <w:r>
        <w:rPr>
          <w:rFonts w:ascii="Times New Roman" w:hAnsi="Times New Roman" w:eastAsia="Times New Roman"/>
          <w:sz w:val="23"/>
          <w:szCs w:val="23"/>
        </w:rPr>
        <w:t xml:space="preserve">Ek-3: İcra/kurum yazısı varsa</w:t>
      </w:r>
    </w:p>
    <w:p>
      <w:pPr>
        <w:jc w:val="left"/>
        <w:spacing w:before="0" w:after="50" w:line="276" w:lineRule="auto"/>
      </w:pPr>
      <w:r>
        <w:rPr>
          <w:rFonts w:ascii="Times New Roman" w:hAnsi="Times New Roman" w:eastAsia="Times New Roman"/>
          <w:sz w:val="23"/>
          <w:szCs w:val="23"/>
        </w:rPr>
        <w:t xml:space="preserve">Ek-4: Taraf beyanları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Hükmün Tavzihi Dilekçesi</dc:title>
  <dc:subject>Profesyonel örnek dilekçe – düzenlenebilir Word belgesi</dc:subject>
  <dc:creator>Av. Halil Bakırcı</dc:creator>
  <cp:lastModifiedBy>Av. Halil Bakırcı</cp:lastModifiedBy>
  <dcterms:created xsi:type="dcterms:W3CDTF">2026-09-10T22:21:17Z</dcterms:created>
  <dcterms:modified xsi:type="dcterms:W3CDTF">2026-09-10T22:21:17Z</dcterms:modified>
</cp:coreProperties>
</file>