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w:body>
    <w:p>
      <w:pPr>
        <w:jc w:val="center"/>
        <w:spacing w:after="160" w:line="300" w:lineRule="auto"/>
      </w:pPr>
      <w:r>
        <w:rPr>
          <w:rFonts w:ascii="Times New Roman" w:hAnsi="Times New Roman" w:eastAsia="Times New Roman"/>
          <w:sz w:val="20"/>
          <w:szCs w:val="20"/>
          <w:b/>
        </w:rPr>
        <w:t xml:space="preserve">ÖRNEK DİLEKÇE • HUKUKİ KONTROL: 11.09.2026</w:t>
      </w:r>
    </w:p>
    <w:p>
      <w:pPr>
        <w:jc w:val="center"/>
        <w:spacing w:after="260" w:line="300" w:lineRule="auto"/>
      </w:pPr>
      <w:r>
        <w:rPr>
          <w:rFonts w:ascii="Times New Roman" w:hAnsi="Times New Roman" w:eastAsia="Times New Roman"/>
          <w:sz w:val="24"/>
          <w:szCs w:val="24"/>
          <w:b/>
        </w:rPr>
        <w:t xml:space="preserve">YARGITAY [İLGİLİ] HUKUK DAİRESİ BAŞKANLIĞI’NA</w:t>
        <w:br/>
        <w:t xml:space="preserve">Gönderilmek Üzere</w:t>
        <w:br/>
        <w:t xml:space="preserve">[İLGİLİ] BÖLGE ADLİYE MAHKEMESİ [..] HUKUK DAİRESİ’NE</w:t>
      </w:r>
    </w:p>
    <w:p>
      <w:pPr>
        <w:spacing w:after="90" w:line="300" w:lineRule="auto"/>
      </w:pPr>
      <w:r>
        <w:rPr>
          <w:rFonts w:ascii="Times New Roman" w:hAnsi="Times New Roman" w:eastAsia="Times New Roman"/>
          <w:sz w:val="22"/>
          <w:szCs w:val="22"/>
        </w:rPr>
        <w:t xml:space="preserve">TEMYİZ EDEN: [AD SOYAD / T.C. KİMLİK NO / ADRES]</w:t>
      </w:r>
    </w:p>
    <w:p>
      <w:pPr>
        <w:spacing w:after="90" w:line="300" w:lineRule="auto"/>
      </w:pPr>
      <w:r>
        <w:rPr>
          <w:rFonts w:ascii="Times New Roman" w:hAnsi="Times New Roman" w:eastAsia="Times New Roman"/>
          <w:sz w:val="22"/>
          <w:szCs w:val="22"/>
          <w:b/>
        </w:rPr>
        <w:t xml:space="preserve">VEKİLİ: Av. Halil Bakırcı</w:t>
      </w:r>
    </w:p>
    <w:p>
      <w:pPr>
        <w:spacing w:after="90" w:line="300" w:lineRule="auto"/>
      </w:pPr>
      <w:r>
        <w:rPr>
          <w:rFonts w:ascii="Times New Roman" w:hAnsi="Times New Roman" w:eastAsia="Times New Roman"/>
          <w:sz w:val="22"/>
          <w:szCs w:val="22"/>
        </w:rPr>
        <w:t xml:space="preserve">KARŞI TARAF: [AD SOYAD / UNVAN / ADRES]</w:t>
      </w:r>
    </w:p>
    <w:p>
      <w:pPr>
        <w:spacing w:after="90" w:line="300" w:lineRule="auto"/>
      </w:pPr>
      <w:r>
        <w:rPr>
          <w:rFonts w:ascii="Times New Roman" w:hAnsi="Times New Roman" w:eastAsia="Times New Roman"/>
          <w:sz w:val="22"/>
          <w:szCs w:val="22"/>
        </w:rPr>
        <w:t xml:space="preserve">DAVA / DOSYA NO: [VARSA ESAS / TAKİP / BAŞVURU NO]</w:t>
      </w:r>
    </w:p>
    <w:p>
      <w:pPr>
        <w:spacing w:after="90" w:line="300" w:lineRule="auto"/>
      </w:pPr>
      <w:r>
        <w:rPr>
          <w:rFonts w:ascii="Times New Roman" w:hAnsi="Times New Roman" w:eastAsia="Times New Roman"/>
          <w:sz w:val="22"/>
          <w:szCs w:val="22"/>
        </w:rPr>
        <w:t xml:space="preserve">KONU: Bölge adliye mahkemesi kararının hukuka aykırılık nedeniyle temyizen incelenmesi ve bozulması.</w:t>
      </w:r>
    </w:p>
    <w:p>
      <w:pPr>
        <w:spacing w:after="90" w:line="300" w:lineRule="auto"/>
      </w:pPr>
      <w:r>
        <w:rPr>
          <w:rFonts w:ascii="Times New Roman" w:hAnsi="Times New Roman" w:eastAsia="Times New Roman"/>
          <w:sz w:val="22"/>
          <w:szCs w:val="22"/>
        </w:rPr>
        <w:t xml:space="preserve">DAVA DEĞERİ: [VARSA TUTAR]</w:t>
      </w:r>
    </w:p>
    <w:p>
      <w:pPr>
        <w:jc w:val="center"/>
        <w:spacing w:after="140" w:line="300" w:lineRule="auto"/>
        <w:keepNext/>
      </w:pPr>
      <w:r>
        <w:rPr>
          <w:rFonts w:ascii="Times New Roman" w:hAnsi="Times New Roman" w:eastAsia="Times New Roman"/>
          <w:sz w:val="23"/>
          <w:szCs w:val="23"/>
          <w:b/>
        </w:rPr>
        <w:t xml:space="preserve">AÇIKLAMALAR</w:t>
      </w:r>
    </w:p>
    <w:p>
      <w:pPr>
        <w:spacing w:after="110" w:line="300" w:lineRule="auto"/>
      </w:pPr>
      <w:r>
        <w:rPr>
          <w:rFonts w:ascii="Times New Roman" w:hAnsi="Times New Roman" w:eastAsia="Times New Roman"/>
          <w:sz w:val="22"/>
          <w:szCs w:val="22"/>
        </w:rPr>
        <w:t xml:space="preserve">1. [BAM DAİRESİ] tarafından [KARAR TARİHİ] tarih, [ESAS NO] E. ve [KARAR NO] K. sayılı karar verilmiştir.</w:t>
      </w:r>
    </w:p>
    <w:p>
      <w:pPr>
        <w:spacing w:after="110" w:line="300" w:lineRule="auto"/>
      </w:pPr>
      <w:r>
        <w:rPr>
          <w:rFonts w:ascii="Times New Roman" w:hAnsi="Times New Roman" w:eastAsia="Times New Roman"/>
          <w:sz w:val="22"/>
          <w:szCs w:val="22"/>
        </w:rPr>
        <w:t xml:space="preserve">2. Gerekçeli karar [TEBLİĞ TARİHİ] tarihinde tebliğ edilmiş olup temyiz başvurusu HMK m.361’deki yasal süre içinde sunulmaktadır.</w:t>
      </w:r>
    </w:p>
    <w:p>
      <w:pPr>
        <w:spacing w:after="110" w:line="300" w:lineRule="auto"/>
      </w:pPr>
      <w:r>
        <w:rPr>
          <w:rFonts w:ascii="Times New Roman" w:hAnsi="Times New Roman" w:eastAsia="Times New Roman"/>
          <w:sz w:val="22"/>
          <w:szCs w:val="22"/>
        </w:rPr>
        <w:t xml:space="preserve">3. Bölge adliye mahkemesi, uyuşmazlığın çözümünde uygulanması gereken maddi hukuk kuralını hatalı yorumlamış veya uygulanması gereken normu uygulamamıştır.</w:t>
      </w:r>
    </w:p>
    <w:p>
      <w:pPr>
        <w:spacing w:after="110" w:line="300" w:lineRule="auto"/>
      </w:pPr>
      <w:r>
        <w:rPr>
          <w:rFonts w:ascii="Times New Roman" w:hAnsi="Times New Roman" w:eastAsia="Times New Roman"/>
          <w:sz w:val="22"/>
          <w:szCs w:val="22"/>
        </w:rPr>
        <w:t xml:space="preserve">4. Dosyadaki belirleyici deliller gerekçede karşılanmamış; delillerin tartışılması ve hukuki nitelendirme arasında denetlenebilir bir bağ kurulmamıştır.</w:t>
      </w:r>
    </w:p>
    <w:p>
      <w:pPr>
        <w:spacing w:after="110" w:line="300" w:lineRule="auto"/>
      </w:pPr>
      <w:r>
        <w:rPr>
          <w:rFonts w:ascii="Times New Roman" w:hAnsi="Times New Roman" w:eastAsia="Times New Roman"/>
          <w:sz w:val="22"/>
          <w:szCs w:val="22"/>
        </w:rPr>
        <w:t xml:space="preserve">5. Usule ilişkin itirazlar ve kamu düzenine ilişkin hususlar gereği gibi incelenmemiş; bu eksiklik hükmün sonucunu doğrudan etkilemiştir.</w:t>
      </w:r>
    </w:p>
    <w:p>
      <w:pPr>
        <w:spacing w:after="110" w:line="300" w:lineRule="auto"/>
      </w:pPr>
      <w:r>
        <w:rPr>
          <w:rFonts w:ascii="Times New Roman" w:hAnsi="Times New Roman" w:eastAsia="Times New Roman"/>
          <w:sz w:val="22"/>
          <w:szCs w:val="22"/>
        </w:rPr>
        <w:t xml:space="preserve">6. Temyiz nedenleri birlikte değerlendirildiğinde kararın hukuka uygunluk denetiminden geçemeyeceği ve bozulması gerektiği açıktır.</w:t>
      </w:r>
    </w:p>
    <w:p>
      <w:pPr>
        <w:spacing w:after="110" w:line="300" w:lineRule="auto"/>
      </w:pPr>
      <w:r>
        <w:rPr>
          <w:rFonts w:ascii="Times New Roman" w:hAnsi="Times New Roman" w:eastAsia="Times New Roman"/>
          <w:sz w:val="22"/>
          <w:szCs w:val="22"/>
        </w:rPr>
        <w:t xml:space="preserve">7. İşbu başvuru bölge adliye mahkemesi kararının hukuka aykırılık nedeniyle temyizen incelenmesi ve bozulması amacıyla hazırlanmıştır. Mahkemece/mercice inceleme yapılırken yalnız sonuç talebi değil, vakıa-delil bağlantısı ve 6100 sayılı HMK m. 361 ve devamı hükümleri birlikte değerlendirilmelidir.</w:t>
      </w:r>
    </w:p>
    <w:p>
      <w:pPr>
        <w:spacing w:after="110" w:line="300" w:lineRule="auto"/>
      </w:pPr>
      <w:r>
        <w:rPr>
          <w:rFonts w:ascii="Times New Roman" w:hAnsi="Times New Roman" w:eastAsia="Times New Roman"/>
          <w:sz w:val="22"/>
          <w:szCs w:val="22"/>
        </w:rPr>
        <w:t xml:space="preserve">8. Dosyaya sunulan her belge, hangi vakıayı ispatladığı belirtilerek numaralandırılmıştır. Hukuk Davasında Temyiz Dilekçesi Örneği bakımından ispat yükünün taraflar arasındaki dağılımı ve re’sen araştırılacak hususlar, uyuşmazlığın niteliğine göre dikkate alınmalıdır.</w:t>
      </w:r>
    </w:p>
    <w:p>
      <w:pPr>
        <w:spacing w:after="110" w:line="300" w:lineRule="auto"/>
      </w:pPr>
      <w:r>
        <w:rPr>
          <w:rFonts w:ascii="Times New Roman" w:hAnsi="Times New Roman" w:eastAsia="Times New Roman"/>
          <w:sz w:val="22"/>
          <w:szCs w:val="22"/>
        </w:rPr>
        <w:t xml:space="preserve">9. Karşı tarafın cevap ve itirazları dosyadaki yazılı kayıtlarla karşılaştırılmalı; çelişki bulunan hususlarda ilgili kurum veya kuruluşlardan asıl kayıtlar getirtilmelidir.</w:t>
      </w:r>
    </w:p>
    <w:p>
      <w:pPr>
        <w:spacing w:after="110" w:line="300" w:lineRule="auto"/>
      </w:pPr>
      <w:r>
        <w:rPr>
          <w:rFonts w:ascii="Times New Roman" w:hAnsi="Times New Roman" w:eastAsia="Times New Roman"/>
          <w:sz w:val="22"/>
          <w:szCs w:val="22"/>
        </w:rPr>
        <w:t xml:space="preserve">10. Talep sonucu açık, infaz edilebilir ve tereddütsüz biçimde kurulmuştur. Miktarı yargılama sırasında bilirkişi veya kurum kayıtlarıyla belirlenebilecek kalemler yönünden usul kanununun izin verdiği talep biçimleri saklıdır.</w:t>
      </w:r>
    </w:p>
    <w:p>
      <w:pPr>
        <w:spacing w:after="80" w:line="300" w:lineRule="auto"/>
        <w:keepNext/>
      </w:pPr>
      <w:r>
        <w:rPr>
          <w:rFonts w:ascii="Times New Roman" w:hAnsi="Times New Roman" w:eastAsia="Times New Roman"/>
          <w:sz w:val="22"/>
          <w:szCs w:val="22"/>
          <w:b/>
        </w:rPr>
        <w:t xml:space="preserve">HUKUKİ NEDENLER</w:t>
      </w:r>
    </w:p>
    <w:p>
      <w:pPr>
        <w:spacing w:after="140" w:line="300" w:lineRule="auto"/>
      </w:pPr>
      <w:r>
        <w:rPr>
          <w:rFonts w:ascii="Times New Roman" w:hAnsi="Times New Roman" w:eastAsia="Times New Roman"/>
          <w:sz w:val="22"/>
          <w:szCs w:val="22"/>
        </w:rPr>
        <w:t xml:space="preserve">6100 sayılı HMK m. 361 ve devamı ve somut olaya uygulanacak sair mevzuat.</w:t>
      </w:r>
    </w:p>
    <w:p>
      <w:pPr>
        <w:spacing w:after="80" w:line="300" w:lineRule="auto"/>
        <w:keepNext/>
      </w:pPr>
      <w:r>
        <w:rPr>
          <w:rFonts w:ascii="Times New Roman" w:hAnsi="Times New Roman" w:eastAsia="Times New Roman"/>
          <w:sz w:val="22"/>
          <w:szCs w:val="22"/>
          <w:b/>
        </w:rPr>
        <w:t xml:space="preserve">DELİLLER</w:t>
      </w:r>
    </w:p>
    <w:p>
      <w:pPr>
        <w:spacing w:after="140" w:line="300" w:lineRule="auto"/>
      </w:pPr>
      <w:r>
        <w:rPr>
          <w:rFonts w:ascii="Times New Roman" w:hAnsi="Times New Roman" w:eastAsia="Times New Roman"/>
          <w:sz w:val="22"/>
          <w:szCs w:val="22"/>
        </w:rPr>
        <w:t xml:space="preserve">İlk derece mahkemesi kararı; BAM gerekçeli kararı; Tebligat belgesi; Duruşma tutanakları; Bilirkişi/uzman raporları; Dosyada sunulan temel deliller; gerektiğinde kurum kayıtları, keşif, bilirkişi, tanık ve her türlü yasal delil.</w:t>
      </w:r>
    </w:p>
    <w:p>
      <w:pPr>
        <w:jc w:val="center"/>
        <w:spacing w:after="120" w:line="300" w:lineRule="auto"/>
        <w:keepNext/>
      </w:pPr>
      <w:r>
        <w:rPr>
          <w:rFonts w:ascii="Times New Roman" w:hAnsi="Times New Roman" w:eastAsia="Times New Roman"/>
          <w:sz w:val="23"/>
          <w:szCs w:val="23"/>
          <w:b/>
        </w:rPr>
        <w:t xml:space="preserve">SONUÇ VE İSTEM</w:t>
      </w:r>
    </w:p>
    <w:p>
      <w:pPr>
        <w:spacing w:after="100" w:line="300" w:lineRule="auto"/>
      </w:pPr>
      <w:r>
        <w:rPr>
          <w:rFonts w:ascii="Times New Roman" w:hAnsi="Times New Roman" w:eastAsia="Times New Roman"/>
          <w:sz w:val="22"/>
          <w:szCs w:val="22"/>
        </w:rPr>
        <w:t xml:space="preserve">Yukarıda arz ve izah edilen nedenlerle ve Mahkemenizce/merciinizce re’sen gözetilecek hususlar saklı kalmak üzere;</w:t>
      </w:r>
    </w:p>
    <w:p>
      <w:pPr>
        <w:spacing w:after="90" w:line="300" w:lineRule="auto"/>
      </w:pPr>
      <w:r>
        <w:rPr>
          <w:rFonts w:ascii="Times New Roman" w:hAnsi="Times New Roman" w:eastAsia="Times New Roman"/>
          <w:sz w:val="22"/>
          <w:szCs w:val="22"/>
        </w:rPr>
        <w:t xml:space="preserve">1. Temyiz istemimizin kabulüne,</w:t>
      </w:r>
    </w:p>
    <w:p>
      <w:pPr>
        <w:spacing w:after="90" w:line="300" w:lineRule="auto"/>
      </w:pPr>
      <w:r>
        <w:rPr>
          <w:rFonts w:ascii="Times New Roman" w:hAnsi="Times New Roman" w:eastAsia="Times New Roman"/>
          <w:sz w:val="22"/>
          <w:szCs w:val="22"/>
        </w:rPr>
        <w:t xml:space="preserve">2. Bölge adliye mahkemesi kararının HMK hükümleri uyarınca bozulmasına,</w:t>
      </w:r>
    </w:p>
    <w:p>
      <w:pPr>
        <w:spacing w:after="90" w:line="300" w:lineRule="auto"/>
      </w:pPr>
      <w:r>
        <w:rPr>
          <w:rFonts w:ascii="Times New Roman" w:hAnsi="Times New Roman" w:eastAsia="Times New Roman"/>
          <w:sz w:val="22"/>
          <w:szCs w:val="22"/>
        </w:rPr>
        <w:t xml:space="preserve">3. Dosyanın yeniden karar verilmek üzere ilgili mercie gönderilmesine,</w:t>
      </w:r>
    </w:p>
    <w:p>
      <w:pPr>
        <w:spacing w:after="90" w:line="300" w:lineRule="auto"/>
      </w:pPr>
      <w:r>
        <w:rPr>
          <w:rFonts w:ascii="Times New Roman" w:hAnsi="Times New Roman" w:eastAsia="Times New Roman"/>
          <w:sz w:val="22"/>
          <w:szCs w:val="22"/>
        </w:rPr>
        <w:t xml:space="preserve">4. Yargılama giderleri ve vekâlet ücretinin karşı tarafa yükletilmesine,</w:t>
      </w:r>
    </w:p>
    <w:p>
      <w:pPr>
        <w:spacing w:after="220" w:line="300" w:lineRule="auto"/>
      </w:pPr>
      <w:r>
        <w:rPr>
          <w:rFonts w:ascii="Times New Roman" w:hAnsi="Times New Roman" w:eastAsia="Times New Roman"/>
          <w:sz w:val="22"/>
          <w:szCs w:val="22"/>
        </w:rPr>
        <w:t xml:space="preserve">5. Karar verilmesini saygıyla arz ve talep ederim. [TARİH]</w:t>
      </w:r>
    </w:p>
    <w:p>
      <w:pPr>
        <w:jc w:val="right"/>
        <w:spacing w:after="200" w:line="300" w:lineRule="auto"/>
      </w:pPr>
      <w:r>
        <w:rPr>
          <w:rFonts w:ascii="Times New Roman" w:hAnsi="Times New Roman" w:eastAsia="Times New Roman"/>
          <w:sz w:val="22"/>
          <w:szCs w:val="22"/>
          <w:b/>
        </w:rPr>
        <w:t xml:space="preserve">Temyi̇z Eden Vekili</w:t>
        <w:br/>
        <w:t xml:space="preserve">Av. Halil Bakırcı</w:t>
        <w:br/>
        <w:t xml:space="preserve">(E-İMZALIDIR)</w:t>
      </w:r>
    </w:p>
    <w:p>
      <w:pPr>
        <w:spacing w:after="80" w:line="300" w:lineRule="auto"/>
        <w:keepNext/>
      </w:pPr>
      <w:r>
        <w:rPr>
          <w:rFonts w:ascii="Times New Roman" w:hAnsi="Times New Roman" w:eastAsia="Times New Roman"/>
          <w:sz w:val="22"/>
          <w:szCs w:val="22"/>
          <w:b/>
        </w:rPr>
        <w:t xml:space="preserve">EKLER</w:t>
      </w:r>
    </w:p>
    <w:p>
      <w:pPr>
        <w:spacing w:after="60" w:line="300" w:lineRule="auto"/>
      </w:pPr>
      <w:r>
        <w:rPr>
          <w:rFonts w:ascii="Times New Roman" w:hAnsi="Times New Roman" w:eastAsia="Times New Roman"/>
          <w:sz w:val="21"/>
          <w:szCs w:val="21"/>
        </w:rPr>
        <w:t xml:space="preserve">1. İlk derece mahkemesi kararı</w:t>
      </w:r>
    </w:p>
    <w:p>
      <w:pPr>
        <w:spacing w:after="60" w:line="300" w:lineRule="auto"/>
      </w:pPr>
      <w:r>
        <w:rPr>
          <w:rFonts w:ascii="Times New Roman" w:hAnsi="Times New Roman" w:eastAsia="Times New Roman"/>
          <w:sz w:val="21"/>
          <w:szCs w:val="21"/>
        </w:rPr>
        <w:t xml:space="preserve">2. BAM gerekçeli kararı</w:t>
      </w:r>
    </w:p>
    <w:p>
      <w:pPr>
        <w:spacing w:after="60" w:line="300" w:lineRule="auto"/>
      </w:pPr>
      <w:r>
        <w:rPr>
          <w:rFonts w:ascii="Times New Roman" w:hAnsi="Times New Roman" w:eastAsia="Times New Roman"/>
          <w:sz w:val="21"/>
          <w:szCs w:val="21"/>
        </w:rPr>
        <w:t xml:space="preserve">3. Tebligat belgesi</w:t>
      </w:r>
    </w:p>
    <w:p>
      <w:pPr>
        <w:spacing w:after="60" w:line="300" w:lineRule="auto"/>
      </w:pPr>
      <w:r>
        <w:rPr>
          <w:rFonts w:ascii="Times New Roman" w:hAnsi="Times New Roman" w:eastAsia="Times New Roman"/>
          <w:sz w:val="21"/>
          <w:szCs w:val="21"/>
        </w:rPr>
        <w:t xml:space="preserve">4. Duruşma tutanakları</w:t>
      </w:r>
    </w:p>
    <w:p>
      <w:pPr>
        <w:spacing w:after="60" w:line="300" w:lineRule="auto"/>
      </w:pPr>
      <w:r>
        <w:rPr>
          <w:rFonts w:ascii="Times New Roman" w:hAnsi="Times New Roman" w:eastAsia="Times New Roman"/>
          <w:sz w:val="21"/>
          <w:szCs w:val="21"/>
        </w:rPr>
        <w:t xml:space="preserve">5. Bilirkişi/uzman raporları</w:t>
      </w:r>
    </w:p>
    <w:p>
      <w:pPr>
        <w:spacing w:after="60" w:line="300" w:lineRule="auto"/>
      </w:pPr>
      <w:r>
        <w:rPr>
          <w:rFonts w:ascii="Times New Roman" w:hAnsi="Times New Roman" w:eastAsia="Times New Roman"/>
          <w:sz w:val="21"/>
          <w:szCs w:val="21"/>
        </w:rPr>
        <w:t xml:space="preserve">6. Dosyada sunulan temel deliller</w:t>
      </w:r>
    </w:p>
    <w:p>
      <w:pPr>
        <w:jc w:val="center"/>
        <w:spacing w:after="120" w:line="300" w:lineRule="auto"/>
      </w:pPr>
      <w:r>
        <w:rPr>
          <w:rFonts w:ascii="Times New Roman" w:hAnsi="Times New Roman" w:eastAsia="Times New Roman"/>
          <w:sz w:val="21"/>
          <w:szCs w:val="21"/>
          <w:b/>
        </w:rPr>
        <w:t xml:space="preserve">DOSYAYA UYARLAMA NOTU</w:t>
      </w:r>
    </w:p>
    <w:p>
      <w:pPr>
        <w:spacing w:after="90" w:line="300" w:lineRule="auto"/>
      </w:pPr>
      <w:r>
        <w:rPr>
          <w:rFonts w:ascii="Times New Roman" w:hAnsi="Times New Roman" w:eastAsia="Times New Roman"/>
          <w:sz w:val="20"/>
          <w:szCs w:val="20"/>
        </w:rPr>
        <w:t xml:space="preserve">Bu örnek, mahkemeye veya ilgili yasal mercie sunulmadan önce gerçek taraf bilgileri, tarih, tutar, görev, yetki, süre, dava şartı, delil ve talep sonucu yönünden somut dosyaya uyarlanmalıdır. Köşeli parantez içindeki alanlar değiştirilmelidir. Örnekte yer almayan bir vakıa gerçek dosyada yoksa metinden çıkarılmalıdır.</w:t>
      </w:r>
    </w:p>
    <w:p>
      <w:pPr>
        <w:jc w:val="center"/>
        <w:spacing w:after="0" w:line="300" w:lineRule="auto"/>
      </w:pPr>
      <w:r>
        <w:rPr>
          <w:rFonts w:ascii="Times New Roman" w:hAnsi="Times New Roman" w:eastAsia="Times New Roman"/>
          <w:sz w:val="18"/>
          <w:szCs w:val="18"/>
          <w:b/>
        </w:rPr>
        <w:t xml:space="preserve">Hazırlayan: Av. Halil Bakırcı • Bakırcı &amp; Keskin Hukuk Bürosu • halilbakirci.av.tr</w:t>
      </w:r>
    </w:p>
    <w:sectPr>
      <w:pgSz w:w="11906" w:h="16838"/>
      <w:pgMar w:top="1134" w:right="1134" w:bottom="1134" w:left="1134" w:header="567" w:footer="567" w:gutter="0"/>
    </w:sectPr>
  </w:body>
</w:document>
</file>

<file path=docProps/app.xml><?xml version="1.0" encoding="utf-8"?>
<Properties xmlns="http://schemas.openxmlformats.org/officeDocument/2006/extended-properties" xmlns:vt="http://schemas.openxmlformats.org/officeDocument/2006/docPropsVTypes">
  <Application>Microsoft Office Word</Application>
  <Company>Bakırcı &amp; Keskin Hukuk Bürosu</Company>
</Properties>
</file>

<file path=docProps/core.xml><?xml version="1.0" encoding="utf-8"?>
<cp:coreProperties xmlns:cp="http://schemas.openxmlformats.org/package/2006/metadata/core-properties" xmlns:dc="http://purl.org/dc/elements/1.1/" xmlns:dcterms="http://purl.org/dc/terms/" xmlns:xsi="http://www.w3.org/2001/XMLSchema-instance">
  <dc:title>Hukuk Davasında Temyiz Dilekçesi Örneği</dc:title>
  <dc:creator>Av. Halil Bakırcı</dc:creator>
  <cp:lastModifiedBy>Av. Halil Bakırcı</cp:lastModifiedBy>
  <dcterms:created xsi:type="dcterms:W3CDTF">2026-09-11T00:00:00Z</dcterms:created>
  <dcterms:modified xsi:type="dcterms:W3CDTF">2026-09-11T00:00:00Z</dcterms:modified>
</cp:coreProperties>
</file>