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İKAMET İZNI RED KARARINA İTIRAZ VE İPTAL DAVASI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İDARI BAŞVURU IÇIN GÖÇ İDARESI ILGILI BIRIMI; IPTAL DAVASINDA YETKILI IDARE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A.N. (yabancı başvurucu)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Mersin Valiliği / İl Göç İdaresi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Yabancı No: 99*******9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İkamet İzni Red Kararına İtiraz ve İptal Davası Dilekçesi kapsamında ret kararının kaldırılması/iptali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03.02.2026 — gerçek belge tarihini yazınız</w:t>
            </w:r>
          </w:p>
        </w:tc>
      </w:tr>
    </w:tbl>
    <w:p>
      <w:pPr>
        <w:pStyle w:val="Heading1"/>
      </w:pPr>
      <w:r>
        <w:t>AÇIKLAMALAR</w:t>
      </w:r>
    </w:p>
    <w:p>
      <w:pPr>
        <w:keepLines w:val="0"/>
        <w:ind w:firstLine="340"/>
      </w:pPr>
      <w:r>
        <w:rPr>
          <w:b/>
          <w:color w:val="1E3A8A"/>
        </w:rPr>
        <w:t xml:space="preserve">1. </w:t>
      </w:r>
      <w:r>
        <w:t>Örnek olayda Belgeleri tam olduğu hâlde kalış amacı yeterli görülmeyen kısa dönem ikamet başvurusunun reddine karşı iptal istenir. Başvurucu, uyuşmazlığı 03.02.2026 tarihinde öğrenmiş; ilk yazılı başvurusunu 12.03.2026 tarihinde yapmıştır. Bu tarihler yalnız örnek olup gerçek dosyadaki tebliğ, öğrenme veya işlem tarihleriyle değiştirilmelidir.</w:t>
      </w:r>
    </w:p>
    <w:p>
      <w:pPr>
        <w:keepLines w:val="0"/>
        <w:ind w:firstLine="340"/>
      </w:pPr>
      <w:r>
        <w:rPr>
          <w:b/>
          <w:color w:val="1E3A8A"/>
        </w:rPr>
        <w:t xml:space="preserve">2. </w:t>
      </w:r>
      <w:r>
        <w:t>Başvuru ve yabancı kimlik numarası tarih, yer, kişi ve belge bağlantısıyla açıklanır. Başvuru ve yabancı kimlik numarası bakımından olayın başlangıcı, tarafların sıfatı ve işlem tarihi birlikte gösterilmiştir. Bu olgu Ret kararı ile doğrulanmakta; belge Ek-1 olarak sunulmaktadır.</w:t>
      </w:r>
    </w:p>
    <w:p>
      <w:pPr>
        <w:keepLines w:val="0"/>
        <w:ind w:firstLine="340"/>
      </w:pPr>
      <w:r>
        <w:rPr>
          <w:b/>
          <w:color w:val="1E3A8A"/>
        </w:rPr>
        <w:t xml:space="preserve">3. </w:t>
      </w:r>
      <w:r>
        <w:t>Ret kararının tarih/gerekçesi tarih, yer, kişi ve belge bağlantısıyla açıklanır. Ret kararının tarih/gerekçesi yönünden yalnız sonuç belirtilmemiş, işlemin nasıl gerçekleştiği ve başvurucunun hangi hakkının etkilendiği açıklanmıştır. Tebligat, iddiayı doğrulayan temel kayıt olarak Ek-2 numarasıyla dosyaya eklenmiştir.</w:t>
      </w:r>
    </w:p>
    <w:p>
      <w:pPr>
        <w:keepLines w:val="0"/>
        <w:ind w:firstLine="340"/>
      </w:pPr>
      <w:r>
        <w:rPr>
          <w:b/>
          <w:color w:val="1E3A8A"/>
        </w:rPr>
        <w:t xml:space="preserve">4. </w:t>
      </w:r>
      <w:r>
        <w:t>Tebliğ tarihi tarih, yer, kişi ve belge bağlantısıyla açıklanır. Tebliğ tarihi somutlaştırılırken tarih sırası korunmuş ve karşı tarafın ya da kurumun işlemi açıkça gösterilmiştir. Pasaport ve giriş kayıtları üzerinde yer alan tarih ve kayıt numarası dilekçedeki anlatımla uyumludur.</w:t>
      </w:r>
    </w:p>
    <w:p>
      <w:pPr>
        <w:keepLines w:val="0"/>
        <w:ind w:firstLine="340"/>
      </w:pPr>
      <w:r>
        <w:rPr>
          <w:b/>
          <w:color w:val="1E3A8A"/>
        </w:rPr>
        <w:t xml:space="preserve">5. </w:t>
      </w:r>
      <w:r>
        <w:t>Kalış amacı ve bağlar tarih, yer, kişi ve belge bağlantısıyla açıklanır. Kalış amacı ve bağlar başlığı altında başvurunun hukuki yararı açıklanmıştır. İstenen sonucun neden gerekli olduğu, Kira/tapu/adres kayıtları ile talep arasındaki bağlantı kurularak gösterilmiştir.</w:t>
      </w:r>
    </w:p>
    <w:p>
      <w:pPr>
        <w:keepLines w:val="0"/>
        <w:ind w:firstLine="340"/>
      </w:pPr>
      <w:r>
        <w:rPr>
          <w:b/>
          <w:color w:val="1E3A8A"/>
        </w:rPr>
        <w:t xml:space="preserve">6. </w:t>
      </w:r>
      <w:r>
        <w:t>Belgelerin nasıl sağlandığı tarih, yer, kişi ve belge bağlantısıyla açıklanır. Belgelerin nasıl sağlandığı konusunda örnek olayın özel koşulları belirtilmiş; varsayıma dayalı ifade kullanılmamıştır. Sağlık sigortası ve mali yeterlilik belgeleri mevcut değilse belgenin hangi kurumdan ve hangi dönem için getirtilmesi istendiği ayrıca yazılmalıdır.</w:t>
      </w:r>
    </w:p>
    <w:p>
      <w:pPr>
        <w:pStyle w:val="Heading1"/>
      </w:pPr>
      <w:r>
        <w:t>HUKUKİ DEĞERLENDİRME</w:t>
      </w:r>
    </w:p>
    <w:p>
      <w:r>
        <w:t>Başvurunun hukuki dayanağı 6458 sayılı Yabancılar ve Uluslararası Koruma Kanunu; 2577 sayılı İYUK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6458 sayılı Yabancılar ve Uluslararası Koruma Kanunu</w:t>
      </w:r>
    </w:p>
    <w:p>
      <w:r>
        <w:t>6458 sayılı Yabancılar ve Uluslararası Koruma Kanunu hükümleri başvurunun maddi ve usul şartlarını belirler. Güncel resmî metin, tebliğ ve işlem tarihinde birlikte değerlendirilir.</w:t>
      </w:r>
    </w:p>
    <w:p>
      <w:pPr>
        <w:pStyle w:val="Heading2"/>
      </w:pPr>
      <w:r>
        <w:t>2577 sayılı İYUK</w:t>
      </w:r>
    </w:p>
    <w:p>
      <w:r>
        <w:t>2577 sayılı İYUK hükümleri başvurunun maddi ve usul şartlarını belirler. Güncel resmî metin, tebliğ ve işlem tarihinde birlikte değerlendirilir.</w:t>
      </w:r>
    </w:p>
    <w:p>
      <w:pPr>
        <w:pStyle w:val="Heading1"/>
      </w:pPr>
      <w:r>
        <w:t>DELİLLER</w:t>
      </w:r>
    </w:p>
    <w:p>
      <w:r>
        <w:t>1. Ek-1: Ret kararı — ilgili olay paragrafını doğrulayan tarihli ve okunaklı kayıt.</w:t>
      </w:r>
    </w:p>
    <w:p>
      <w:r>
        <w:t>2. Ek-2: Tebligat — ilgili olay paragrafını doğrulayan tarihli ve okunaklı kayıt.</w:t>
      </w:r>
    </w:p>
    <w:p>
      <w:r>
        <w:t>3. Ek-3: Pasaport ve giriş kayıtları — ilgili olay paragrafını doğrulayan tarihli ve okunaklı kayıt.</w:t>
      </w:r>
    </w:p>
    <w:p>
      <w:r>
        <w:t>4. Ek-4: Kira/tapu/adres kayıtları — ilgili olay paragrafını doğrulayan tarihli ve okunaklı kayıt.</w:t>
      </w:r>
    </w:p>
    <w:p>
      <w:r>
        <w:t>5. Ek-5: Sağlık sigortası ve mali yeterlilik belgeleri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6458 sayılı Yabancılar ve Uluslararası Koruma Kanunu; 2577 sayılı İYUK ve somut olaya uygulanacak diğer mevzuat.</w:t>
      </w:r>
    </w:p>
    <w:p>
      <w:pPr>
        <w:pStyle w:val="Heading1"/>
      </w:pPr>
      <w:r>
        <w:t>SONUÇ VE İSTEM</w:t>
      </w:r>
    </w:p>
    <w:p>
      <w:pPr>
        <w:keepNext/>
      </w:pPr>
      <w:r>
        <w:t>Yukarıda açıklanan ve resen dikkate alınacak nedenlerle;</w:t>
      </w:r>
    </w:p>
    <w:p>
      <w:r>
        <w:t>1. Ret kararının kaldırılması/iptali.</w:t>
      </w:r>
    </w:p>
    <w:p>
      <w:r>
        <w:t>2. Başvurunun yeniden değerlendirilmesi.</w:t>
      </w:r>
    </w:p>
    <w:p>
      <w:r>
        <w:t>3. Yürütmenin durdurulması koşullarının değerlendirilmesi.</w:t>
      </w:r>
    </w:p>
    <w:p>
      <w:r>
        <w:t>4. Yargılama giderleri.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12.03.2026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A.N. (yabancı başvurucu)</w:t>
              <w:br/>
              <w:t>İmza</w:t>
            </w:r>
          </w:p>
        </w:tc>
      </w:tr>
    </w:tbl>
    <w:p>
      <w:pPr>
        <w:pStyle w:val="Heading1"/>
      </w:pPr>
      <w:r>
        <w:t>EKLER</w:t>
      </w:r>
    </w:p>
    <w:p>
      <w:r>
        <w:t>1. Ret kararı</w:t>
      </w:r>
    </w:p>
    <w:p>
      <w:r>
        <w:t>2. Tebligat</w:t>
      </w:r>
    </w:p>
    <w:p>
      <w:r>
        <w:t>3. Pasaport ve giriş kayıtları</w:t>
      </w:r>
    </w:p>
    <w:p>
      <w:r>
        <w:t>4. Kira/tapu/adres kayıtları</w:t>
      </w:r>
    </w:p>
    <w:p>
      <w:r>
        <w:t>5. Sağlık sigortası ve mali yeterlilik belgeleri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İdari başvuru için Göç İdaresi ilgili birimi; iptal davasında yetkili idare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Ret kararının tebliğinden itibaren idari dava için kural olarak 60 gün; karardaki çıkış ve diğer özel süreler ayrıca gözetilir.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Ret gerekçesi, tebliğ, pasaport/vize, adres, sigorta ve kalış amacı belgelenir.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03.02.2026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Ret kararı</w:t>
            </w:r>
          </w:p>
        </w:tc>
      </w:tr>
      <w:tr>
        <w:tc>
          <w:tcPr>
            <w:tcW w:type="dxa" w:w="3457"/>
            <w:tcMar>
              <w:top w:w="110" w:type="dxa"/>
              <w:start w:w="120" w:type="dxa"/>
              <w:bottom w:w="110" w:type="dxa"/>
              <w:end w:w="120" w:type="dxa"/>
            </w:tcMar>
          </w:tcPr>
          <w:p>
            <w:r>
              <w:t>12.03.2026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Tebligat</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Pasaport ve giriş kayıtları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Başvuru ve yabancı kimlik numarası</w:t>
            </w:r>
          </w:p>
        </w:tc>
        <w:tc>
          <w:tcPr>
            <w:tcW w:type="dxa" w:w="3457"/>
            <w:tcMar>
              <w:top w:w="110" w:type="dxa"/>
              <w:start w:w="120" w:type="dxa"/>
              <w:bottom w:w="110" w:type="dxa"/>
              <w:end w:w="120" w:type="dxa"/>
            </w:tcMar>
          </w:tcPr>
          <w:p>
            <w:r>
              <w:t>Ret kararı</w:t>
            </w:r>
          </w:p>
        </w:tc>
        <w:tc>
          <w:tcPr>
            <w:tcW w:type="dxa" w:w="3457"/>
            <w:tcMar>
              <w:top w:w="110" w:type="dxa"/>
              <w:start w:w="120" w:type="dxa"/>
              <w:bottom w:w="110" w:type="dxa"/>
              <w:end w:w="120" w:type="dxa"/>
            </w:tcMar>
          </w:tcPr>
          <w:p>
            <w:r>
              <w:t>Ret kararının kaldırılması/iptali</w:t>
            </w:r>
          </w:p>
        </w:tc>
      </w:tr>
      <w:tr>
        <w:tc>
          <w:tcPr>
            <w:tcW w:type="dxa" w:w="3457"/>
            <w:tcMar>
              <w:top w:w="110" w:type="dxa"/>
              <w:start w:w="120" w:type="dxa"/>
              <w:bottom w:w="110" w:type="dxa"/>
              <w:end w:w="120" w:type="dxa"/>
            </w:tcMar>
          </w:tcPr>
          <w:p>
            <w:r>
              <w:t>Ret kararının tarih/gerekçesi</w:t>
            </w:r>
          </w:p>
        </w:tc>
        <w:tc>
          <w:tcPr>
            <w:tcW w:type="dxa" w:w="3457"/>
            <w:tcMar>
              <w:top w:w="110" w:type="dxa"/>
              <w:start w:w="120" w:type="dxa"/>
              <w:bottom w:w="110" w:type="dxa"/>
              <w:end w:w="120" w:type="dxa"/>
            </w:tcMar>
          </w:tcPr>
          <w:p>
            <w:r>
              <w:t>Tebligat</w:t>
            </w:r>
          </w:p>
        </w:tc>
        <w:tc>
          <w:tcPr>
            <w:tcW w:type="dxa" w:w="3457"/>
            <w:tcMar>
              <w:top w:w="110" w:type="dxa"/>
              <w:start w:w="120" w:type="dxa"/>
              <w:bottom w:w="110" w:type="dxa"/>
              <w:end w:w="120" w:type="dxa"/>
            </w:tcMar>
          </w:tcPr>
          <w:p>
            <w:r>
              <w:t>Başvurunun yeniden değerlendirilmesi</w:t>
            </w:r>
          </w:p>
        </w:tc>
      </w:tr>
      <w:tr>
        <w:tc>
          <w:tcPr>
            <w:tcW w:type="dxa" w:w="3457"/>
            <w:tcMar>
              <w:top w:w="110" w:type="dxa"/>
              <w:start w:w="120" w:type="dxa"/>
              <w:bottom w:w="110" w:type="dxa"/>
              <w:end w:w="120" w:type="dxa"/>
            </w:tcMar>
          </w:tcPr>
          <w:p>
            <w:r>
              <w:t>Tebliğ tarihi</w:t>
            </w:r>
          </w:p>
        </w:tc>
        <w:tc>
          <w:tcPr>
            <w:tcW w:type="dxa" w:w="3457"/>
            <w:tcMar>
              <w:top w:w="110" w:type="dxa"/>
              <w:start w:w="120" w:type="dxa"/>
              <w:bottom w:w="110" w:type="dxa"/>
              <w:end w:w="120" w:type="dxa"/>
            </w:tcMar>
          </w:tcPr>
          <w:p>
            <w:r>
              <w:t>Pasaport ve giriş kayıtları</w:t>
            </w:r>
          </w:p>
        </w:tc>
        <w:tc>
          <w:tcPr>
            <w:tcW w:type="dxa" w:w="3457"/>
            <w:tcMar>
              <w:top w:w="110" w:type="dxa"/>
              <w:start w:w="120" w:type="dxa"/>
              <w:bottom w:w="110" w:type="dxa"/>
              <w:end w:w="120" w:type="dxa"/>
            </w:tcMar>
          </w:tcPr>
          <w:p>
            <w:r>
              <w:t>Yürütmenin durdurulması koşullarının değerlendirilmesi</w:t>
            </w:r>
          </w:p>
        </w:tc>
      </w:tr>
      <w:tr>
        <w:tc>
          <w:tcPr>
            <w:tcW w:type="dxa" w:w="3457"/>
            <w:tcMar>
              <w:top w:w="110" w:type="dxa"/>
              <w:start w:w="120" w:type="dxa"/>
              <w:bottom w:w="110" w:type="dxa"/>
              <w:end w:w="120" w:type="dxa"/>
            </w:tcMar>
          </w:tcPr>
          <w:p>
            <w:r>
              <w:t>Kalış amacı ve bağlar</w:t>
            </w:r>
          </w:p>
        </w:tc>
        <w:tc>
          <w:tcPr>
            <w:tcW w:type="dxa" w:w="3457"/>
            <w:tcMar>
              <w:top w:w="110" w:type="dxa"/>
              <w:start w:w="120" w:type="dxa"/>
              <w:bottom w:w="110" w:type="dxa"/>
              <w:end w:w="120" w:type="dxa"/>
            </w:tcMar>
          </w:tcPr>
          <w:p>
            <w:r>
              <w:t>Kira/tapu/adres kayıtları</w:t>
            </w:r>
          </w:p>
        </w:tc>
        <w:tc>
          <w:tcPr>
            <w:tcW w:type="dxa" w:w="3457"/>
            <w:tcMar>
              <w:top w:w="110" w:type="dxa"/>
              <w:start w:w="120" w:type="dxa"/>
              <w:bottom w:w="110" w:type="dxa"/>
              <w:end w:w="120" w:type="dxa"/>
            </w:tcMar>
          </w:tcPr>
          <w:p>
            <w:r>
              <w:t>Yargılama giderleri</w:t>
            </w:r>
          </w:p>
        </w:tc>
      </w:tr>
      <w:tr>
        <w:tc>
          <w:tcPr>
            <w:tcW w:type="dxa" w:w="3457"/>
            <w:tcMar>
              <w:top w:w="110" w:type="dxa"/>
              <w:start w:w="120" w:type="dxa"/>
              <w:bottom w:w="110" w:type="dxa"/>
              <w:end w:w="120" w:type="dxa"/>
            </w:tcMar>
          </w:tcPr>
          <w:p>
            <w:r>
              <w:t>Belgelerin nasıl sağlandığı</w:t>
            </w:r>
          </w:p>
        </w:tc>
        <w:tc>
          <w:tcPr>
            <w:tcW w:type="dxa" w:w="3457"/>
            <w:tcMar>
              <w:top w:w="110" w:type="dxa"/>
              <w:start w:w="120" w:type="dxa"/>
              <w:bottom w:w="110" w:type="dxa"/>
              <w:end w:w="120" w:type="dxa"/>
            </w:tcMar>
          </w:tcPr>
          <w:p>
            <w:r>
              <w:t>Sağlık sigortası ve mali yeterlilik belgeleri</w:t>
            </w:r>
          </w:p>
        </w:tc>
        <w:tc>
          <w:tcPr>
            <w:tcW w:type="dxa" w:w="3457"/>
            <w:tcMar>
              <w:top w:w="110" w:type="dxa"/>
              <w:start w:w="120" w:type="dxa"/>
              <w:bottom w:w="110" w:type="dxa"/>
              <w:end w:w="120" w:type="dxa"/>
            </w:tcMar>
          </w:tcPr>
          <w:p>
            <w:r>
              <w:t>Ret kararının kaldırılması/iptali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Ret kararının tebliğinden itibaren idari dava için kural olarak 60 gün; karardaki çıkış ve diğer özel süreler ayrıca gözetilir.</w:t>
      </w:r>
    </w:p>
    <w:p>
      <w:r>
        <w:t>• Görev/yetki riski: İdari başvuru için Göç İdaresi ilgili birimi; iptal davasında yetkili idare mahkemesi</w:t>
      </w:r>
    </w:p>
    <w:p>
      <w:r>
        <w:t>• Ön koşul riski: Ret gerekçesi, tebliğ, pasaport/vize, adres, sigorta ve kalış amacı belgelenir.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İkamet İzni Red Kararına İtiraz ve İptal Davası Dilekçesi Örneği 2026 | Word İndir</dc:title>
  <dc:subject>ikamet izni reddine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