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28"/>
        </w:rPr>
        <w:t>[....] ASLİYE HUKUK MAHKEMESİNE</w:t>
      </w:r>
    </w:p>
    <w:p>
      <w:r>
        <w:rPr>
          <w:b/>
        </w:rPr>
        <w:t>ESAS NO</w:t>
      </w:r>
      <w:r>
        <w:t xml:space="preserve"> : [20../... E.]</w:t>
      </w:r>
    </w:p>
    <w:p>
      <w:r>
        <w:rPr>
          <w:b/>
        </w:rPr>
        <w:t>DAVACI</w:t>
      </w:r>
      <w:r>
        <w:t xml:space="preserve"> : [Ad soyad ve adres]</w:t>
      </w:r>
    </w:p>
    <w:p>
      <w:r>
        <w:rPr>
          <w:b/>
        </w:rPr>
        <w:t>VEKİLİ</w:t>
      </w:r>
      <w:r>
        <w:t xml:space="preserve"> : Av. [Ad Soyad, baro sicil ve adres]</w:t>
      </w:r>
    </w:p>
    <w:p>
      <w:r>
        <w:rPr>
          <w:b/>
        </w:rPr>
        <w:t>DAVALI</w:t>
      </w:r>
      <w:r>
        <w:t xml:space="preserve"> : [Ad soyad / unvan ve adres]</w:t>
      </w:r>
    </w:p>
    <w:p>
      <w:r>
        <w:rPr>
          <w:b/>
        </w:rPr>
        <w:t>İLGİLİ TUTANAK</w:t>
      </w:r>
      <w:r>
        <w:t xml:space="preserve"> : [18/09/2026 tarihli celse, UYAP evrak no: ...]</w:t>
      </w:r>
    </w:p>
    <w:p>
      <w:r>
        <w:rPr>
          <w:b/>
        </w:rPr>
        <w:t>KONU</w:t>
      </w:r>
      <w:r>
        <w:t xml:space="preserve"> : HMK m. 154/3-ç ve m. 309 uyarınca okunup imzalanmamış sözlü feragat kaydına hukuki sonuç bağlanmaması ve yargılamaya devam edilmesi talebidir.</w:t>
      </w:r>
    </w:p>
    <w:p>
      <w:pPr>
        <w:keepNext/>
      </w:pPr>
      <w:r>
        <w:rPr>
          <w:b/>
        </w:rPr>
        <w:t>AÇIKLAMALAR</w:t>
      </w:r>
    </w:p>
    <w:p>
      <w:r>
        <w:t>1. Mahkemenizin yukarıda esas numarası yazılı dosyasının 18/09/2026 tarihli duruşmasında davacı, yalnız “[ikinci bilirkişi incelemesi talebimizi takip etmiyoruz / gerçek cümle]” açıklamasını yapmıştır. Davanın talep sonucundan kısmen veya tamamen vazgeçildiğine ilişkin bir beyan verilmemiştir.</w:t>
      </w:r>
    </w:p>
    <w:p>
      <w:r>
        <w:t>2. Buna rağmen aynı tarihli tutanağa “[davacı davadan feragat etti / tutanaktaki tam cümle]” kaydı yazılmıştır. Bu kayıt davacıya okunmamış, davacının tutanak altına imzası alınmamış ve dosyaya davacı imzalı ayrı bir feragat dilekçesi sunulmamıştır.</w:t>
      </w:r>
    </w:p>
    <w:p>
      <w:r>
        <w:t>3. HMK m. 154/3-ç; davadan feragat beyanının mutlak olarak tutanağa yazılmasını, beyanda bulunana okunmasını ve imzasının alınmasını zorunlu tutar. Tutanakta hâkim ve zabıt kâtibi elektronik imzasının bulunması, feragat eden taraf için ayrıca öngörülen okuma ve imza işleminin yerine geçmez.</w:t>
      </w:r>
    </w:p>
    <w:p>
      <w:r>
        <w:t>4. HMK m. 309/1 feragatin dilekçeyle veya yargılama sırasında sözlü yapılabileceğini düzenler. Sözlü yol seçildiğinde beyan HMK m. 154/3-çteki usulle resmîleştirilir. Kısmi feragatte vazgeçilen kısmın açıkça gösterilmesi ve feragatin kayıtsız, şartsız olması da HMK m. 309/3-4 gereğidir.</w:t>
      </w:r>
    </w:p>
    <w:p>
      <w:r>
        <w:t>5. [Beyan vekil tarafından verilmişse:] Dosyadaki vekâletnamede HMK m. 74 anlamında davadan feragat için açık özel yetki bulunmamaktadır. Bu paragraf yalnız gerçek dosyada özel yetki yoksa korunmalıdır.</w:t>
      </w:r>
    </w:p>
    <w:p>
      <w:r>
        <w:t>6. HMK m. 311/1 feragate kesin hüküm gibi sonuç bağladığından, şeklen tamamlanmamış ve kapsamı gerçek açıklamayla uyuşmayan kayıt davayı sona erdiremez. Davacının dava dilekçesindeki [talep sonucu] aynen sürmektedir.</w:t>
      </w:r>
    </w:p>
    <w:p>
      <w:r>
        <w:t>7. Bu başvuru yalnız PDF’de ıslak imza resmi bulunmamasına dayanmamaktadır. UYAP’taki asıl elektronik tutanak, evrak doğrulama kaydı ve dosyanın güncel evrak listesi incelenmiş; davacıya ait onay/imza kaydı ile ayrı feragat dilekçesi bulunmadığı somutlaştırılmıştır.</w:t>
      </w:r>
    </w:p>
    <w:p>
      <w:r>
        <w:t>8. Henüz feragate dayalı nihai karar kurulmamıştır. Bu nedenle belirli tutanak kaydına geçerli feragat sonucu bağlanmamasını ve tahkikata kaldığı yerden devam edilmesini talep ediyoruz.</w:t>
      </w:r>
    </w:p>
    <w:p>
      <w:pPr>
        <w:keepNext/>
      </w:pPr>
      <w:r>
        <w:rPr>
          <w:b/>
        </w:rPr>
        <w:t>İNCELENMESİ İSTENEN KAYITLAR</w:t>
      </w:r>
    </w:p>
    <w:p>
      <w:r>
        <w:t>1. 18/09/2026 tarihli duruşma tutanağının asıl elektronik sürümü ve evrak doğrulama kaydı.</w:t>
      </w:r>
    </w:p>
    <w:p>
      <w:r>
        <w:t>2. Feragat cümlesinin davacıya okunduğunu ve davacı tarafından imzalandığını gösteren kayıt bulunup bulunmadığı.</w:t>
      </w:r>
    </w:p>
    <w:p>
      <w:r>
        <w:t>3. Dosyada davacı imzalı ayrı feragat dilekçesi bulunup bulunmadığı.</w:t>
      </w:r>
    </w:p>
    <w:p>
      <w:r>
        <w:t>4. Tutanaktaki cümle ile davacının gerçek açıklamasının ve sürdürdüğü talep sonucunun karşılaştırılması.</w:t>
      </w:r>
    </w:p>
    <w:p>
      <w:pPr>
        <w:keepNext/>
      </w:pPr>
      <w:r>
        <w:rPr>
          <w:b/>
        </w:rPr>
        <w:t>HUKUKİ NEDENLER</w:t>
      </w:r>
    </w:p>
    <w:p>
      <w:r>
        <w:t>6100 sayılı Hukuk Muhakemeleri Kanunu m. 27, 74, 154, 156, 309, 311 ve ilgili diğer hükümler.</w:t>
      </w:r>
    </w:p>
    <w:p>
      <w:pPr>
        <w:keepNext/>
      </w:pPr>
      <w:r>
        <w:rPr>
          <w:b/>
        </w:rPr>
        <w:t>SONUÇ VE İSTEM</w:t>
      </w:r>
    </w:p>
    <w:p>
      <w:r>
        <w:t>Açıklanan nedenlerle; 18/09/2026 tarihli duruşma tutanağındaki “[feragat cümlesi]” kaydının davacıya okunmadığının, davacı tarafından imzalanmadığının ve dosyada ayrı imzalı feragat dilekçesi bulunmadığının TESPİTİNE; HMK m. 154/3-ç ve m. 309’da aranan şekil tamamlanmadığından bu kayda davadan feragat sonucu BAĞLANMAMASINA; davacının dava dilekçesindeki talep sonucu üzerinden yargılamaya DEVAM EDİLMESİNE karar verilmesini saygıyla arz ve talep ederiz. 29/09/2026</w:t>
      </w:r>
    </w:p>
    <w:p>
      <w:pPr>
        <w:spacing w:after="240"/>
        <w:jc w:val="right"/>
      </w:pPr>
      <w:r>
        <w:t>Davacı Vekili</w:t>
        <w:br/>
        <w:t>Av. [Ad Soyad]</w:t>
        <w:br/>
        <w:t>(E-İMZALIDIR)</w:t>
      </w:r>
    </w:p>
    <w:p>
      <w:pPr>
        <w:keepNext/>
        <w:spacing w:before="160"/>
      </w:pPr>
      <w:r>
        <w:rPr>
          <w:b/>
        </w:rPr>
        <w:t>EKLER</w:t>
      </w:r>
    </w:p>
    <w:p>
      <w:pPr>
        <w:pStyle w:val="ListBullet"/>
      </w:pPr>
      <w:r>
        <w:t>Ek-1: 18/09/2026 tarihli duruşma tutanağı</w:t>
      </w:r>
    </w:p>
    <w:p>
      <w:pPr>
        <w:pStyle w:val="ListBullet"/>
      </w:pPr>
      <w:r>
        <w:t>Ek-2: Elektronik evrak/imza doğrulama çıktısı</w:t>
      </w:r>
    </w:p>
    <w:p>
      <w:pPr>
        <w:pStyle w:val="ListBullet"/>
      </w:pPr>
      <w:r>
        <w:t>Ek-3: Güncel UYAP evrak veya dizi listesi</w:t>
      </w:r>
    </w:p>
    <w:p>
      <w:pPr>
        <w:pStyle w:val="ListBullet"/>
      </w:pPr>
      <w:r>
        <w:t>Ek-4: [Varsa] Feragat özel yetkisi bulunmadığını gösteren vekâletname örneği</w:t>
      </w:r>
    </w:p>
    <w:p>
      <w:pPr>
        <w:pStyle w:val="ListBullet"/>
      </w:pPr>
      <w:r>
        <w:t>Ek-5: Davacının gerçek beyanının bağlamını gösteren önceki dilekçe veya kayıt</w:t>
      </w:r>
    </w:p>
    <w:p>
      <w:pPr>
        <w:keepNext/>
      </w:pPr>
      <w:r>
        <w:rPr>
          <w:b/>
        </w:rPr>
        <w:t>DOLDURMA KONTROLÜ — SUNULACAK NÜSHADAN ÇIKARIN</w:t>
      </w:r>
    </w:p>
    <w:p>
      <w:pPr>
        <w:pStyle w:val="ListBullet"/>
      </w:pPr>
      <w:r>
        <w:rPr>
          <w:i/>
        </w:rPr>
        <w:t>Tutanaktaki cümleyi, celseyi ve UYAP evrak numarasını gerçek kayıttan aynen yazın.</w:t>
      </w:r>
    </w:p>
    <w:p>
      <w:pPr>
        <w:pStyle w:val="ListBullet"/>
      </w:pPr>
      <w:r>
        <w:rPr>
          <w:i/>
        </w:rPr>
        <w:t>Ayrı imzalı feragat dilekçesi veya taraf elektronik onayı varsa bu örneği kullanmayın.</w:t>
      </w:r>
    </w:p>
    <w:p>
      <w:pPr>
        <w:pStyle w:val="ListBullet"/>
      </w:pPr>
      <w:r>
        <w:rPr>
          <w:i/>
        </w:rPr>
        <w:t>Vekil özel yetki paragrafını yalnız gerçek olayda uygulanıyorsa bırakın.</w:t>
      </w:r>
    </w:p>
    <w:p>
      <w:pPr>
        <w:pStyle w:val="ListBullet"/>
      </w:pPr>
      <w:r>
        <w:rPr>
          <w:i/>
        </w:rPr>
        <w:t>Feragate dayalı karar verilmişse kanun yolu süresini ayrıca takip edin; bu dilekçe süreyi durdurmaz.</w:t>
      </w:r>
    </w:p>
    <w:p>
      <w:pPr>
        <w:pStyle w:val="ListBullet"/>
      </w:pPr>
      <w:r>
        <w:rPr>
          <w:i/>
        </w:rPr>
        <w:t>Köşeli alanları ve ekleri tamamlayıp bu kontrol bölümünü nihai nüshadan çıkarın.</w:t>
      </w:r>
    </w:p>
    <w:sectPr w:rsidR="00FC693F" w:rsidRPr="0006063C" w:rsidSect="00034616">
      <w:pgSz w:w="12240" w:h="15840"/>
      <w:pgMar w:top="1008" w:right="1181" w:bottom="936"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