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İNTERNET ALIŞVERIŞI DOLANDIRICILIĞI ŞIKÂYET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CUMHURIYET BAŞSAVCILIĞI VEYA KOLLUK</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Deniz Kaya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Örnek İşletme A.Ş. / ilgili kamu kurumu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Sicil No: 45166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İnternet Alışverişi Dolandırıcılığı Şikâyet Dilekçesi kapsamında banka hesabı ve iletişim sahibinin tespiti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06.02.2026 — gerçek belge tarihini yazınız</w:t>
            </w:r>
          </w:p>
        </w:tc>
      </w:tr>
    </w:tbl>
    <w:p>
      <w:pPr>
        <w:pStyle w:val="Heading1"/>
      </w:pPr>
      <w:r>
        <w:t>AÇIKLAMALAR</w:t>
      </w:r>
    </w:p>
    <w:p>
      <w:pPr>
        <w:keepLines w:val="0"/>
        <w:ind w:firstLine="340"/>
      </w:pPr>
      <w:r>
        <w:rPr>
          <w:b/>
          <w:color w:val="1E3A8A"/>
        </w:rPr>
        <w:t xml:space="preserve">1. </w:t>
      </w:r>
      <w:r>
        <w:t>Örnek olayda Sahte satış ilanına ödeme yapıldığı hâlde ürün gönderilmemesi ve hesabın kapatılması şikâyet edilir. Başvurucu, uyuşmazlığı 06.02.2026 tarihinde öğrenmiş; ilk yazılı başvurusunu 15.03.2026 tarihinde yapmıştır. Bu tarihler yalnız örnek olup gerçek dosyadaki tebliğ, öğrenme veya işlem tarihleriyle değiştirilmelidir.</w:t>
      </w:r>
    </w:p>
    <w:p>
      <w:pPr>
        <w:keepLines w:val="0"/>
        <w:ind w:firstLine="340"/>
      </w:pPr>
      <w:r>
        <w:rPr>
          <w:b/>
          <w:color w:val="1E3A8A"/>
        </w:rPr>
        <w:t xml:space="preserve">2. </w:t>
      </w:r>
      <w:r>
        <w:t>İlan ve ürün tarih, yer, kişi ve belge bağlantısıyla açıklanır. İlan ve ürün bakımından olayın başlangıcı, tarafların sıfatı ve işlem tarihi birlikte gösterilmiştir. Bu olgu İlan ekranları ile doğrulanmakta; belge Ek-1 olarak sunulmaktadır.</w:t>
      </w:r>
    </w:p>
    <w:p>
      <w:pPr>
        <w:keepLines w:val="0"/>
        <w:ind w:firstLine="340"/>
      </w:pPr>
      <w:r>
        <w:rPr>
          <w:b/>
          <w:color w:val="1E3A8A"/>
        </w:rPr>
        <w:t xml:space="preserve">3. </w:t>
      </w:r>
      <w:r>
        <w:t>Satıcı hesap/telefonu tarih, yer, kişi ve belge bağlantısıyla açıklanır. Satıcı hesap/telefonu yönünden yalnız sonuç belirtilmemiş, işlemin nasıl gerçekleştiği ve başvurucunun hangi hakkının etkilendiği açıklanmıştır. Mesajlar, iddiayı doğrulayan temel kayıt olarak Ek-2 numarasıyla dosyaya eklenmiştir.</w:t>
      </w:r>
    </w:p>
    <w:p>
      <w:pPr>
        <w:keepLines w:val="0"/>
        <w:ind w:firstLine="340"/>
      </w:pPr>
      <w:r>
        <w:rPr>
          <w:b/>
          <w:color w:val="1E3A8A"/>
        </w:rPr>
        <w:t xml:space="preserve">4. </w:t>
      </w:r>
      <w:r>
        <w:t>Yazışmalar tarih, yer, kişi ve belge bağlantısıyla açıklanır. Yazışmalar somutlaştırılırken tarih sırası korunmuş ve karşı tarafın ya da kurumun işlemi açıkça gösterilmiştir. Banka dekontu üzerinde yer alan tarih ve kayıt numarası dilekçedeki anlatımla uyumludur.</w:t>
      </w:r>
    </w:p>
    <w:p>
      <w:pPr>
        <w:keepLines w:val="0"/>
        <w:ind w:firstLine="340"/>
      </w:pPr>
      <w:r>
        <w:rPr>
          <w:b/>
          <w:color w:val="1E3A8A"/>
        </w:rPr>
        <w:t xml:space="preserve">5. </w:t>
      </w:r>
      <w:r>
        <w:t>Ödeme bilgisi tarih, yer, kişi ve belge bağlantısıyla açıklanır. Ödeme bilgisi başlığı altında başvurunun hukuki yararı açıklanmıştır. İstenen sonucun neden gerekli olduğu, Kargo sorgusu ile talep arasındaki bağlantı kurularak gösterilmiştir.</w:t>
      </w:r>
    </w:p>
    <w:p>
      <w:pPr>
        <w:keepLines w:val="0"/>
        <w:ind w:firstLine="340"/>
      </w:pPr>
      <w:r>
        <w:rPr>
          <w:b/>
          <w:color w:val="1E3A8A"/>
        </w:rPr>
        <w:t xml:space="preserve">6. </w:t>
      </w:r>
      <w:r>
        <w:t>Teslim ve engellenme durumu tarih, yer, kişi ve belge bağlantısıyla açıklanır. Teslim ve engellenme durumu konusunda örnek olayın özel koşulları belirtilmiş; varsayıma dayalı ifade kullanılmamıştır. Hesap/telefon kayıtları mevcut değilse belgenin hangi kurumdan ve hangi dönem için getirtilmesi istendiği ayrıca yazılmalıdır.</w:t>
      </w:r>
    </w:p>
    <w:p>
      <w:pPr>
        <w:pStyle w:val="Heading1"/>
      </w:pPr>
      <w:r>
        <w:t>HUKUKİ DEĞERLENDİRME</w:t>
      </w:r>
    </w:p>
    <w:p>
      <w:r>
        <w:t>Başvurunun hukuki dayanağı 5237 sayılı TCK m.157-158; 5271 sayılı CMK; olayın tüketici boyutunda 6502 sayılı Kanun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5237 sayılı TCK m.157-158</w:t>
      </w:r>
    </w:p>
    <w:p>
      <w:r>
        <w:t>5237 sayılı TCK m.157-158 hükümleri başvurunun maddi ve usul şartlarını belirler. Güncel resmî metin, tebliğ ve işlem tarihinde birlikte değerlendirilir.</w:t>
      </w:r>
    </w:p>
    <w:p>
      <w:pPr>
        <w:pStyle w:val="Heading2"/>
      </w:pPr>
      <w:r>
        <w:t>5271 sayılı CMK</w:t>
      </w:r>
    </w:p>
    <w:p>
      <w:r>
        <w:t>5271 sayılı CMK hükümleri başvurunun maddi ve usul şartlarını belirler. Güncel resmî metin, tebliğ ve işlem tarihinde birlikte değerlendirilir.</w:t>
      </w:r>
    </w:p>
    <w:p>
      <w:pPr>
        <w:pStyle w:val="Heading2"/>
      </w:pPr>
      <w:r>
        <w:t>olayın tüketici boyutunda 6502 sayılı Kanun</w:t>
      </w:r>
    </w:p>
    <w:p>
      <w:r>
        <w:t>olayın tüketici boyutunda 6502 sayılı Kanun hükümleri başvurunun maddi ve usul şartlarını belirler. Güncel resmî metin, tebliğ ve işlem tarihinde birlikte değerlendirilir.</w:t>
      </w:r>
    </w:p>
    <w:p>
      <w:pPr>
        <w:pStyle w:val="Heading1"/>
      </w:pPr>
      <w:r>
        <w:t>DELİLLER</w:t>
      </w:r>
    </w:p>
    <w:p>
      <w:r>
        <w:t>1. Ek-1: İlan ekranları — ilgili olay paragrafını doğrulayan tarihli ve okunaklı kayıt.</w:t>
      </w:r>
    </w:p>
    <w:p>
      <w:r>
        <w:t>2. Ek-2: Mesajlar — ilgili olay paragrafını doğrulayan tarihli ve okunaklı kayıt.</w:t>
      </w:r>
    </w:p>
    <w:p>
      <w:r>
        <w:t>3. Ek-3: Banka dekontu — ilgili olay paragrafını doğrulayan tarihli ve okunaklı kayıt.</w:t>
      </w:r>
    </w:p>
    <w:p>
      <w:r>
        <w:t>4. Ek-4: Kargo sorgusu — ilgili olay paragrafını doğrulayan tarihli ve okunaklı kayıt.</w:t>
      </w:r>
    </w:p>
    <w:p>
      <w:r>
        <w:t>5. Ek-5: Hesap/telefon kayıtları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5237 sayılı TCK m.157-158; 5271 sayılı CMK; olayın tüketici boyutunda 6502 sayılı Kanun ve somut olaya uygulanacak diğer mevzuat.</w:t>
      </w:r>
    </w:p>
    <w:p>
      <w:pPr>
        <w:pStyle w:val="Heading1"/>
      </w:pPr>
      <w:r>
        <w:t>SONUÇ VE İSTEM</w:t>
      </w:r>
    </w:p>
    <w:p>
      <w:pPr>
        <w:keepNext/>
      </w:pPr>
      <w:r>
        <w:t>Yukarıda açıklanan ve resen dikkate alınacak nedenlerle;</w:t>
      </w:r>
    </w:p>
    <w:p>
      <w:r>
        <w:t>1. Banka hesabı ve iletişim sahibinin tespiti.</w:t>
      </w:r>
    </w:p>
    <w:p>
      <w:r>
        <w:t>2. Para hareketlerine ilişkin tedbirlerin değerlendirilmesi.</w:t>
      </w:r>
    </w:p>
    <w:p>
      <w:r>
        <w:t>3. Platform/IP kayıtlarının korunması.</w:t>
      </w:r>
    </w:p>
    <w:p>
      <w:r>
        <w:t>4. Kamu davası açılması.</w:t>
      </w:r>
    </w:p>
    <w:p>
      <w:r>
        <w:t>5.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15.03.2026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Deniz Kaya</w:t>
              <w:br/>
              <w:t>İmza</w:t>
            </w:r>
          </w:p>
        </w:tc>
      </w:tr>
    </w:tbl>
    <w:p>
      <w:pPr>
        <w:pStyle w:val="Heading1"/>
      </w:pPr>
      <w:r>
        <w:t>EKLER</w:t>
      </w:r>
    </w:p>
    <w:p>
      <w:r>
        <w:t>1. İlan ekranları</w:t>
      </w:r>
    </w:p>
    <w:p>
      <w:r>
        <w:t>2. Mesajlar</w:t>
      </w:r>
    </w:p>
    <w:p>
      <w:r>
        <w:t>3. Banka dekontu</w:t>
      </w:r>
    </w:p>
    <w:p>
      <w:r>
        <w:t>4. Kargo sorgusu</w:t>
      </w:r>
    </w:p>
    <w:p>
      <w:r>
        <w:t>5. Hesap/telefon kayıtları</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Cumhuriyet Başsavcılığı veya kolluk</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Suç resen soruşturulur; banka, platform ve IP kayıtları için gecikmeden başvuru.</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İlan, satıcı hesabı, ödeme, teslim edilmemesi ve aldatma süreci birlikte yazılır.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06.02.2026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İlan ekranları</w:t>
            </w:r>
          </w:p>
        </w:tc>
      </w:tr>
      <w:tr>
        <w:tc>
          <w:tcPr>
            <w:tcW w:type="dxa" w:w="3457"/>
            <w:tcMar>
              <w:top w:w="110" w:type="dxa"/>
              <w:start w:w="120" w:type="dxa"/>
              <w:bottom w:w="110" w:type="dxa"/>
              <w:end w:w="120" w:type="dxa"/>
            </w:tcMar>
          </w:tcPr>
          <w:p>
            <w:r>
              <w:t>15.03.2026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Mesajlar</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Banka dekontu</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İlan ve ürün</w:t>
            </w:r>
          </w:p>
        </w:tc>
        <w:tc>
          <w:tcPr>
            <w:tcW w:type="dxa" w:w="3457"/>
            <w:tcMar>
              <w:top w:w="110" w:type="dxa"/>
              <w:start w:w="120" w:type="dxa"/>
              <w:bottom w:w="110" w:type="dxa"/>
              <w:end w:w="120" w:type="dxa"/>
            </w:tcMar>
          </w:tcPr>
          <w:p>
            <w:r>
              <w:t>İlan ekranları</w:t>
            </w:r>
          </w:p>
        </w:tc>
        <w:tc>
          <w:tcPr>
            <w:tcW w:type="dxa" w:w="3457"/>
            <w:tcMar>
              <w:top w:w="110" w:type="dxa"/>
              <w:start w:w="120" w:type="dxa"/>
              <w:bottom w:w="110" w:type="dxa"/>
              <w:end w:w="120" w:type="dxa"/>
            </w:tcMar>
          </w:tcPr>
          <w:p>
            <w:r>
              <w:t>Banka hesabı ve iletişim sahibinin tespiti</w:t>
            </w:r>
          </w:p>
        </w:tc>
      </w:tr>
      <w:tr>
        <w:tc>
          <w:tcPr>
            <w:tcW w:type="dxa" w:w="3457"/>
            <w:tcMar>
              <w:top w:w="110" w:type="dxa"/>
              <w:start w:w="120" w:type="dxa"/>
              <w:bottom w:w="110" w:type="dxa"/>
              <w:end w:w="120" w:type="dxa"/>
            </w:tcMar>
          </w:tcPr>
          <w:p>
            <w:r>
              <w:t>Satıcı hesap/telefonu</w:t>
            </w:r>
          </w:p>
        </w:tc>
        <w:tc>
          <w:tcPr>
            <w:tcW w:type="dxa" w:w="3457"/>
            <w:tcMar>
              <w:top w:w="110" w:type="dxa"/>
              <w:start w:w="120" w:type="dxa"/>
              <w:bottom w:w="110" w:type="dxa"/>
              <w:end w:w="120" w:type="dxa"/>
            </w:tcMar>
          </w:tcPr>
          <w:p>
            <w:r>
              <w:t>Mesajlar</w:t>
            </w:r>
          </w:p>
        </w:tc>
        <w:tc>
          <w:tcPr>
            <w:tcW w:type="dxa" w:w="3457"/>
            <w:tcMar>
              <w:top w:w="110" w:type="dxa"/>
              <w:start w:w="120" w:type="dxa"/>
              <w:bottom w:w="110" w:type="dxa"/>
              <w:end w:w="120" w:type="dxa"/>
            </w:tcMar>
          </w:tcPr>
          <w:p>
            <w:r>
              <w:t>Para hareketlerine ilişkin tedbirlerin değerlendirilmesi</w:t>
            </w:r>
          </w:p>
        </w:tc>
      </w:tr>
      <w:tr>
        <w:tc>
          <w:tcPr>
            <w:tcW w:type="dxa" w:w="3457"/>
            <w:tcMar>
              <w:top w:w="110" w:type="dxa"/>
              <w:start w:w="120" w:type="dxa"/>
              <w:bottom w:w="110" w:type="dxa"/>
              <w:end w:w="120" w:type="dxa"/>
            </w:tcMar>
          </w:tcPr>
          <w:p>
            <w:r>
              <w:t>Yazışmalar</w:t>
            </w:r>
          </w:p>
        </w:tc>
        <w:tc>
          <w:tcPr>
            <w:tcW w:type="dxa" w:w="3457"/>
            <w:tcMar>
              <w:top w:w="110" w:type="dxa"/>
              <w:start w:w="120" w:type="dxa"/>
              <w:bottom w:w="110" w:type="dxa"/>
              <w:end w:w="120" w:type="dxa"/>
            </w:tcMar>
          </w:tcPr>
          <w:p>
            <w:r>
              <w:t>Banka dekontu</w:t>
            </w:r>
          </w:p>
        </w:tc>
        <w:tc>
          <w:tcPr>
            <w:tcW w:type="dxa" w:w="3457"/>
            <w:tcMar>
              <w:top w:w="110" w:type="dxa"/>
              <w:start w:w="120" w:type="dxa"/>
              <w:bottom w:w="110" w:type="dxa"/>
              <w:end w:w="120" w:type="dxa"/>
            </w:tcMar>
          </w:tcPr>
          <w:p>
            <w:r>
              <w:t>Platform/IP kayıtlarının korunması</w:t>
            </w:r>
          </w:p>
        </w:tc>
      </w:tr>
      <w:tr>
        <w:tc>
          <w:tcPr>
            <w:tcW w:type="dxa" w:w="3457"/>
            <w:tcMar>
              <w:top w:w="110" w:type="dxa"/>
              <w:start w:w="120" w:type="dxa"/>
              <w:bottom w:w="110" w:type="dxa"/>
              <w:end w:w="120" w:type="dxa"/>
            </w:tcMar>
          </w:tcPr>
          <w:p>
            <w:r>
              <w:t>Ödeme bilgisi</w:t>
            </w:r>
          </w:p>
        </w:tc>
        <w:tc>
          <w:tcPr>
            <w:tcW w:type="dxa" w:w="3457"/>
            <w:tcMar>
              <w:top w:w="110" w:type="dxa"/>
              <w:start w:w="120" w:type="dxa"/>
              <w:bottom w:w="110" w:type="dxa"/>
              <w:end w:w="120" w:type="dxa"/>
            </w:tcMar>
          </w:tcPr>
          <w:p>
            <w:r>
              <w:t>Kargo sorgusu</w:t>
            </w:r>
          </w:p>
        </w:tc>
        <w:tc>
          <w:tcPr>
            <w:tcW w:type="dxa" w:w="3457"/>
            <w:tcMar>
              <w:top w:w="110" w:type="dxa"/>
              <w:start w:w="120" w:type="dxa"/>
              <w:bottom w:w="110" w:type="dxa"/>
              <w:end w:w="120" w:type="dxa"/>
            </w:tcMar>
          </w:tcPr>
          <w:p>
            <w:r>
              <w:t>Kamu davası açılması</w:t>
            </w:r>
          </w:p>
        </w:tc>
      </w:tr>
      <w:tr>
        <w:tc>
          <w:tcPr>
            <w:tcW w:type="dxa" w:w="3457"/>
            <w:tcMar>
              <w:top w:w="110" w:type="dxa"/>
              <w:start w:w="120" w:type="dxa"/>
              <w:bottom w:w="110" w:type="dxa"/>
              <w:end w:w="120" w:type="dxa"/>
            </w:tcMar>
          </w:tcPr>
          <w:p>
            <w:r>
              <w:t>Teslim ve engellenme durumu</w:t>
            </w:r>
          </w:p>
        </w:tc>
        <w:tc>
          <w:tcPr>
            <w:tcW w:type="dxa" w:w="3457"/>
            <w:tcMar>
              <w:top w:w="110" w:type="dxa"/>
              <w:start w:w="120" w:type="dxa"/>
              <w:bottom w:w="110" w:type="dxa"/>
              <w:end w:w="120" w:type="dxa"/>
            </w:tcMar>
          </w:tcPr>
          <w:p>
            <w:r>
              <w:t>Hesap/telefon kayıtları</w:t>
            </w:r>
          </w:p>
        </w:tc>
        <w:tc>
          <w:tcPr>
            <w:tcW w:type="dxa" w:w="3457"/>
            <w:tcMar>
              <w:top w:w="110" w:type="dxa"/>
              <w:start w:w="120" w:type="dxa"/>
              <w:bottom w:w="110" w:type="dxa"/>
              <w:end w:w="120" w:type="dxa"/>
            </w:tcMar>
          </w:tcPr>
          <w:p>
            <w:r>
              <w:t>Banka hesabı ve iletişim sahibinin tespiti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Suç resen soruşturulur; banka, platform ve IP kayıtları için gecikmeden başvuru.</w:t>
      </w:r>
    </w:p>
    <w:p>
      <w:r>
        <w:t>• Görev/yetki riski: Cumhuriyet Başsavcılığı veya kolluk</w:t>
      </w:r>
    </w:p>
    <w:p>
      <w:r>
        <w:t>• Ön koşul riski: İlan, satıcı hesabı, ödeme, teslim edilmemesi ve aldatma süreci birlikte yazılır.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İnternet Alışverişi Dolandırıcılığı Şikâyet Dilekçesi Örneği 2026 | Word İndir</dc:title>
  <dc:subject>internet alışverişi dolandırıcılığı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