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İŞ KAZASI NEDENIYLE MADDI VE MANEVI TAZMINAT DAVA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 KAZASININ MEYDANA GELDIĞI VEYA ZARAR GÖREN IŞÇININ YERLEŞIM YERINDEKI İŞ MAHKEMESI DÂHIL 7036 SAYILI KANUNUN ÖZEL YETKI KURALLARI ÇERÇEVESINDE GÖREVLI İŞ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DAVACI/İŞÇİ veya YAKINLARI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DAVALI/İŞVEREN ve SORUMLULAR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 kazası nedeniyle maddi ve manevi tazminat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5510 m.13 iş kazasının kapsamını; TBK m.417 ve 6331 m.4 işverenin sağlık-güvenlik yükümlülüğünü düzenler. Tazminatta kusur, sürekli iş göremezlik, kazanç kaybı, SGK ödemeleri ve kaçınılmazlık birlikte hesaplanır.</w:t>
      </w:r>
    </w:p>
    <w:p>
      <w:pPr/>
      <w:r>
        <w:rPr>
          <w:b/>
        </w:rPr>
        <w:t xml:space="preserve">2. </w:t>
      </w:r>
      <w:r>
        <w:t>Davacı [TARİH/YER] tarihinde işverenin işi yürütülürken [KAZA] geçirdi.</w:t>
      </w:r>
    </w:p>
    <w:p>
      <w:pPr/>
      <w:r>
        <w:rPr>
          <w:b/>
        </w:rPr>
        <w:t xml:space="preserve">3. </w:t>
      </w:r>
      <w:r>
        <w:t>Kazaya [KORUYUCU EKİPMAN/EĞİTİM/GÖZETİM/MAKİNE] eksikliği neden oldu.</w:t>
      </w:r>
    </w:p>
    <w:p>
      <w:pPr/>
      <w:r>
        <w:rPr>
          <w:b/>
        </w:rPr>
        <w:t xml:space="preserve">4. </w:t>
      </w:r>
      <w:r>
        <w:t>Davacı [TEDAVİ] gördü; geçici/sürekli iş göremezlik ve gelir kaybı doğdu.</w:t>
      </w:r>
    </w:p>
    <w:p>
      <w:pPr/>
      <w:r>
        <w:rPr>
          <w:b/>
        </w:rPr>
        <w:t xml:space="preserve">5. </w:t>
      </w:r>
      <w:r>
        <w:t>SGK tahkikatı, kusur ve maluliyet kayıtlarının getirtilmesi gerekmektedir.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5510 sayılı Kanun m.13: </w:t>
      </w:r>
      <w:r>
        <w:t>İş kazası sayılan hâller ve bildirim yükümlülüğü düzenlenir.</w:t>
      </w:r>
    </w:p>
    <w:p>
      <w:pPr>
        <w:ind w:left="312"/>
      </w:pPr>
      <w:r>
        <w:rPr>
          <w:b/>
          <w:color w:val="1E3A8A"/>
        </w:rPr>
        <w:t xml:space="preserve">6331 sayılı Kanun m.4: </w:t>
      </w:r>
      <w:r>
        <w:t>İşveren mesleki riskleri önlemek, eğitim ve bilgi vermek, gerekli organizasyonu yapmakla yükümlüdür.</w:t>
      </w:r>
    </w:p>
    <w:p>
      <w:pPr>
        <w:ind w:left="312"/>
      </w:pPr>
      <w:r>
        <w:rPr>
          <w:b/>
          <w:color w:val="1E3A8A"/>
        </w:rPr>
        <w:t xml:space="preserve">TBK m.417: </w:t>
      </w:r>
      <w:r>
        <w:t>İşveren işyerinde iş sağlığı ve güvenliği için gerekli her türlü önlemi almakla yükümlüdür.</w:t>
      </w:r>
    </w:p>
    <w:p>
      <w:pPr>
        <w:ind w:left="312"/>
      </w:pPr>
      <w:r>
        <w:rPr>
          <w:b/>
          <w:color w:val="1E3A8A"/>
        </w:rPr>
        <w:t xml:space="preserve">TBK m.54, 56: </w:t>
      </w:r>
      <w:r>
        <w:t>Bedensel zarar kalemleri ve manevi tazminat düzenlenir.</w:t>
      </w:r>
    </w:p>
    <w:p>
      <w:pPr>
        <w:ind w:left="312"/>
      </w:pPr>
      <w:r>
        <w:rPr>
          <w:b/>
          <w:color w:val="1E3A8A"/>
        </w:rPr>
        <w:t xml:space="preserve">7036 sayılı Kanun m.3/3: </w:t>
      </w:r>
      <w:r>
        <w:t>İş kazası ve meslek hastalığından doğan maddi-manevi tazminat davaları zorunlu arabuluculuk kapsamı dışındadır.</w:t>
      </w:r>
    </w:p>
    <w:p>
      <w:pPr>
        <w:pStyle w:val="Heading1"/>
      </w:pPr>
      <w:r>
        <w:t>HUKUKİ NEDENLER</w:t>
      </w:r>
    </w:p>
    <w:p>
      <w:r>
        <w:t>5510 sayılı Kanun m.13, 6331 sayılı Kanun m.4, TBK m.417, TBK m.54, 56, 7036 sayılı Kanun m.3/3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Kaza bildirim ve SGK tahkikat dosyası</w:t>
      </w:r>
    </w:p>
    <w:p>
      <w:pPr/>
      <w:r>
        <w:rPr>
          <w:b/>
        </w:rPr>
        <w:t xml:space="preserve">2. </w:t>
      </w:r>
      <w:r>
        <w:t>Sağlık ve maluliyet raporları</w:t>
      </w:r>
    </w:p>
    <w:p>
      <w:pPr/>
      <w:r>
        <w:rPr>
          <w:b/>
        </w:rPr>
        <w:t xml:space="preserve">3. </w:t>
      </w:r>
      <w:r>
        <w:t>İş güvenliği kayıtları ve risk değerlendirmesi</w:t>
      </w:r>
    </w:p>
    <w:p>
      <w:pPr/>
      <w:r>
        <w:rPr>
          <w:b/>
        </w:rPr>
        <w:t xml:space="preserve">4. </w:t>
      </w:r>
      <w:r>
        <w:t>Kamera/tanık</w:t>
      </w:r>
    </w:p>
    <w:p>
      <w:pPr/>
      <w:r>
        <w:rPr>
          <w:b/>
        </w:rPr>
        <w:t xml:space="preserve">5. </w:t>
      </w:r>
      <w:r>
        <w:t>Kusur ve aktüerya bilirkişisi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Geçici/sürekli iş göremezlik ve ekonomik gelecek kaybı dâhil maddi tazminat,</w:t>
      </w:r>
    </w:p>
    <w:p>
      <w:pPr>
        <w:ind w:left="283"/>
      </w:pPr>
      <w:r>
        <w:rPr>
          <w:b/>
        </w:rPr>
        <w:t xml:space="preserve">2. </w:t>
      </w:r>
      <w:r>
        <w:t>Uygun manevi tazminat,</w:t>
      </w:r>
    </w:p>
    <w:p>
      <w:pPr>
        <w:ind w:left="283"/>
      </w:pPr>
      <w:r>
        <w:rPr>
          <w:b/>
        </w:rPr>
        <w:t xml:space="preserve">3. </w:t>
      </w:r>
      <w:r>
        <w:t>SGK ödemelerinin rücuya tabi kısmı gözetilerek hesaplama,</w:t>
      </w:r>
    </w:p>
    <w:p>
      <w:pPr>
        <w:ind w:left="283"/>
      </w:pPr>
      <w:r>
        <w:rPr>
          <w:b/>
        </w:rPr>
        <w:t xml:space="preserve">4. </w:t>
      </w:r>
      <w:r>
        <w:t>Tedbir gerektiğinde malvarlığına ölçülü tedbir,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DAVACI/İŞÇİ veya YAKINLARI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Kaza bildirim ve SGK tahkikat dosyası</w:t>
      </w:r>
    </w:p>
    <w:p>
      <w:pPr/>
      <w:r>
        <w:t>2. Sağlık ve maluliyet raporları</w:t>
      </w:r>
    </w:p>
    <w:p>
      <w:pPr/>
      <w:r>
        <w:t>3. İş güvenliği kayıtları ve risk değerlendirmesi</w:t>
      </w:r>
    </w:p>
    <w:p>
      <w:pPr/>
      <w:r>
        <w:t>4. Kamera/tanık</w:t>
      </w:r>
    </w:p>
    <w:p>
      <w:pPr/>
      <w:r>
        <w:t>5. Kusur ve aktüerya bilirkişisi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 kazasının meydana geldiği veya zarar gören işçinin yerleşim yerindeki İş Mahkemesi dâhil 7036 sayılı Kanunun özel yetki kuralları çerçevesinde görevli İş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İşverenin sözleşmesel sorumluluğuna dayalı tazminat taleplerinde on yıllık genel zamanaşımı esas alınır. Ceza kanunundaki daha uzun süreyi gerektiren fiillerde TBK m.72 hükmü ayrıca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 kazası ve meslek hastalığından doğan maddi-manevi tazminat davalarında zorunlu arabuluculuk yoktur. SGK olay ve maluliyet kayıtları ile kusur incelemesi hazırlanır.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Davacı □ [TARİH/YER] tarihinde işverenin işi yürütülürken [KAZA] geçirdi.</w:t>
      </w:r>
    </w:p>
    <w:p>
      <w:pPr/>
      <w:r>
        <w:t>Kazaya □ [KORUYUCU EKİPMAN/EĞİTİM/GÖZETİM/MAKİNE] eksikliği neden oldu.</w:t>
      </w:r>
    </w:p>
    <w:p>
      <w:pPr/>
      <w:r>
        <w:t>Davacı □ [TEDAVİ] gördü; geçici/sürekli iş göremezlik ve gelir kaybı doğdu.</w:t>
      </w:r>
    </w:p>
    <w:p>
      <w:pPr/>
      <w:r>
        <w:t>SGK tahkikatı, kusur ve maluliyet kayıtlarının getirtilmesi gerekmektedir.</w:t>
      </w:r>
    </w:p>
    <w:p>
      <w:pPr>
        <w:pStyle w:val="Heading2"/>
      </w:pPr>
      <w:r>
        <w:t>Başvuru öncesi kritik kontroller</w:t>
      </w:r>
    </w:p>
    <w:p>
      <w:pPr/>
      <w:r>
        <w:t>□ SGK maluliyet ve iş kazası tespit süreçlerini dava dosyasıyla uyumlu yürütün.</w:t>
      </w:r>
    </w:p>
    <w:p>
      <w:pPr/>
      <w:r>
        <w:t>□ Maddi tazminat hesabında ücret, yaş, kusur ve SGK gelirini ayrı gösterin.</w:t>
      </w:r>
    </w:p>
    <w:p>
      <w:pPr/>
      <w:r>
        <w:t>□ Bu dava için arabuluculuğu zorunlu sanarak süre kaybetmeyin.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5510 güncel metni</w:t>
        </w:r>
      </w:hyperlink>
    </w:p>
    <w:p>
      <w:hyperlink r:id="rId12">
        <w:r>
          <w:rPr>
            <w:color w:val="1e3a8a"/>
            <w:u w:val="single"/>
          </w:rPr>
          <w:t>6331 güncel metni</w:t>
        </w:r>
      </w:hyperlink>
    </w:p>
    <w:p>
      <w:hyperlink r:id="rId13">
        <w:r>
          <w:rPr>
            <w:color w:val="1e3a8a"/>
            <w:u w:val="single"/>
          </w:rPr>
          <w:t>TBK güncel metni</w:t>
        </w:r>
      </w:hyperlink>
    </w:p>
    <w:p>
      <w:hyperlink r:id="rId14">
        <w:r>
          <w:rPr>
            <w:color w:val="1e3a8a"/>
            <w:u w:val="single"/>
          </w:rPr>
          <w:t>7036 güncel metni</w:t>
        </w:r>
      </w:hyperlink>
    </w:p>
    <w:p>
      <w:pPr>
        <w:pStyle w:val="Heading2"/>
      </w:pPr>
      <w:r>
        <w:t>İlgili hukuk rehberleri</w:t>
      </w:r>
    </w:p>
    <w:p>
      <w:hyperlink r:id="rId15">
        <w:r>
          <w:rPr>
            <w:color w:val="1e3a8a"/>
            <w:u w:val="single"/>
          </w:rPr>
          <w:t>İş kazası tazminatı rehberi</w:t>
        </w:r>
      </w:hyperlink>
    </w:p>
    <w:p>
      <w:hyperlink r:id="rId16">
        <w:r>
          <w:rPr>
            <w:color w:val="1e3a8a"/>
            <w:u w:val="single"/>
          </w:rPr>
          <w:t>İşçi hakları rehberi</w:t>
        </w:r>
      </w:hyperlink>
    </w:p>
    <w:p>
      <w:hyperlink r:id="rId17">
        <w:r>
          <w:rPr>
            <w:color w:val="1e3a8a"/>
            <w:u w:val="single"/>
          </w:rPr>
          <w:t>UYAP Vatandaş Portalı dosya sorgulama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510.pdf" TargetMode="External"/><Relationship Id="rId12" Type="http://schemas.openxmlformats.org/officeDocument/2006/relationships/hyperlink" Target="https://www.mevzuat.gov.tr/mevzuatmetin/1.5.6331.pdf" TargetMode="External"/><Relationship Id="rId13" Type="http://schemas.openxmlformats.org/officeDocument/2006/relationships/hyperlink" Target="https://www.mevzuat.gov.tr/mevzuatmetin/1.5.6098.pdf" TargetMode="External"/><Relationship Id="rId14" Type="http://schemas.openxmlformats.org/officeDocument/2006/relationships/hyperlink" Target="https://www.mevzuat.gov.tr/mevzuatmetin/1.5.7036.pdf" TargetMode="External"/><Relationship Id="rId15" Type="http://schemas.openxmlformats.org/officeDocument/2006/relationships/hyperlink" Target="https://halilbakirci.av.tr/is-kazasi-tazminati-nasil-alinir/" TargetMode="External"/><Relationship Id="rId16" Type="http://schemas.openxmlformats.org/officeDocument/2006/relationships/hyperlink" Target="https://halilbakirci.av.tr/isci-haklari-nelerdir/" TargetMode="External"/><Relationship Id="rId17" Type="http://schemas.openxmlformats.org/officeDocument/2006/relationships/hyperlink" Target="https://halilbakirci.av.tr/uyap-vatandas-portali-dosya-sorgulama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 Kazası Nedeniyle Maddi ve Manevi Tazminat Dava Dilekçesi</dc:title>
  <dc:subject>iş kazası tazminat dilekçesi</dc:subject>
  <dc:creator>Av. Halil Bakırcı</dc:creator>
  <cp:keywords>iş kazası tazminat dilekçesi, dilekçe örneği, Word indir, İş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