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İŞÇILIK ALACAKLARI DAVA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İŞIN YAPILDIĞI YER VEYA DAVALI IŞVERENIN YERLEŞIM YERINDEKI İŞ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DAVACI/İŞÇİ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DAVALI/İŞVEREN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Ödenmeyen işçilik alacaklarının faiziyle tahsili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i̇şçilik alacağı davasında çalışma dönemi, ücret, fesih şekli ve her alacak kalemi ayrı açıklanır. 7036 sayılı Kanun m.3 gereğince işçi-işveren alacak ve tazminat davalarında arabuluculuk dava şartıdır.</w:t>
      </w:r>
    </w:p>
    <w:p>
      <w:pPr/>
      <w:r>
        <w:rPr>
          <w:b/>
        </w:rPr>
        <w:t xml:space="preserve">2. </w:t>
      </w:r>
      <w:r>
        <w:t>Davacı [BAŞLANGIÇ-SON] tarihleri arasında [GÖREV] olarak çalıştı.</w:t>
      </w:r>
    </w:p>
    <w:p>
      <w:pPr/>
      <w:r>
        <w:rPr>
          <w:b/>
        </w:rPr>
        <w:t xml:space="preserve">3. </w:t>
      </w:r>
      <w:r>
        <w:t>Gerçek brüt/giydirilmiş ücret [TUTAR] TL olup [BANKA/EMSAL/TANIK] ile sabittir.</w:t>
      </w:r>
    </w:p>
    <w:p>
      <w:pPr/>
      <w:r>
        <w:rPr>
          <w:b/>
        </w:rPr>
        <w:t xml:space="preserve">4. </w:t>
      </w:r>
      <w:r>
        <w:t>Sözleşme [FESİH TARİHİ/ŞEKLİ] ile sona erdi.</w:t>
      </w:r>
    </w:p>
    <w:p>
      <w:pPr/>
      <w:r>
        <w:rPr>
          <w:b/>
        </w:rPr>
        <w:t xml:space="preserve">5. </w:t>
      </w:r>
      <w:r>
        <w:t>[KIDEM/İHBAR/ÜCRET/FAZLA MESAİ/İZİN/UBGT] alacakları ödenmedi ve arabuluculukta anlaşma sağlanmadı.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4857 sayılı Kanun m.32: </w:t>
      </w:r>
      <w:r>
        <w:t>Ücretin tanımı ve en geç ayda bir ödenmesi kuralı düzenlenir.</w:t>
      </w:r>
    </w:p>
    <w:p>
      <w:pPr>
        <w:ind w:left="312"/>
      </w:pPr>
      <w:r>
        <w:rPr>
          <w:b/>
          <w:color w:val="1E3A8A"/>
        </w:rPr>
        <w:t xml:space="preserve">4857 sayılı Kanun m.41: </w:t>
      </w:r>
      <w:r>
        <w:t>Haftalık kırk beş saati aşan fazla çalışma ve zamlı ücret esasları düzenlenir.</w:t>
      </w:r>
    </w:p>
    <w:p>
      <w:pPr>
        <w:ind w:left="312"/>
      </w:pPr>
      <w:r>
        <w:rPr>
          <w:b/>
          <w:color w:val="1E3A8A"/>
        </w:rPr>
        <w:t xml:space="preserve">4857 sayılı Kanun m.53 ve 59: </w:t>
      </w:r>
      <w:r>
        <w:t>Yıllık ücretli izin hakkı ile sözleşme sona erdiğinde kullanılmayan izin ücretinin ödenmesi düzenlenir.</w:t>
      </w:r>
    </w:p>
    <w:p>
      <w:pPr>
        <w:ind w:left="312"/>
      </w:pPr>
      <w:r>
        <w:rPr>
          <w:b/>
          <w:color w:val="1E3A8A"/>
        </w:rPr>
        <w:t xml:space="preserve">1475 sayılı Kanun m.14: </w:t>
      </w:r>
      <w:r>
        <w:t>Kıdem tazminatı doğuran hâller ve hesap esası yürürlükteki hüküm olarak uygulanır.</w:t>
      </w:r>
    </w:p>
    <w:p>
      <w:pPr>
        <w:ind w:left="312"/>
      </w:pPr>
      <w:r>
        <w:rPr>
          <w:b/>
          <w:color w:val="1E3A8A"/>
        </w:rPr>
        <w:t xml:space="preserve">7036 sayılı Kanun m.3 ve 6: </w:t>
      </w:r>
      <w:r>
        <w:t>Zorunlu arabuluculuk ile görev ve yetki kuralları düzenlenir.</w:t>
      </w:r>
    </w:p>
    <w:p>
      <w:pPr>
        <w:pStyle w:val="Heading1"/>
      </w:pPr>
      <w:r>
        <w:t>HUKUKİ NEDENLER</w:t>
      </w:r>
    </w:p>
    <w:p>
      <w:r>
        <w:t>4857 sayılı Kanun m.32, 4857 sayılı Kanun m.41, 4857 sayılı Kanun m.53 ve 59, 1475 sayılı Kanun m.14, 7036 sayılı Kanun m.3 ve 6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SGK hizmet dökümü ve işyeri dosyası</w:t>
      </w:r>
    </w:p>
    <w:p>
      <w:pPr/>
      <w:r>
        <w:rPr>
          <w:b/>
        </w:rPr>
        <w:t xml:space="preserve">2. </w:t>
      </w:r>
      <w:r>
        <w:t>Banka ve bordro kayıtları</w:t>
      </w:r>
    </w:p>
    <w:p>
      <w:pPr/>
      <w:r>
        <w:rPr>
          <w:b/>
        </w:rPr>
        <w:t xml:space="preserve">3. </w:t>
      </w:r>
      <w:r>
        <w:t>Arabuluculuk son tutanağı</w:t>
      </w:r>
    </w:p>
    <w:p>
      <w:pPr/>
      <w:r>
        <w:rPr>
          <w:b/>
        </w:rPr>
        <w:t xml:space="preserve">4. </w:t>
      </w:r>
      <w:r>
        <w:t>Puantaj, giriş-çıkış ve vardiya kayıtları</w:t>
      </w:r>
    </w:p>
    <w:p>
      <w:pPr/>
      <w:r>
        <w:rPr>
          <w:b/>
        </w:rPr>
        <w:t xml:space="preserve">5. </w:t>
      </w:r>
      <w:r>
        <w:t>Tanıklar ve işyeri yazışmaları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Her alacak kaleminin bilirkişiyle hesaplanarak uygun faizle tahsili,</w:t>
      </w:r>
    </w:p>
    <w:p>
      <w:pPr>
        <w:ind w:left="283"/>
      </w:pPr>
      <w:r>
        <w:rPr>
          <w:b/>
        </w:rPr>
        <w:t xml:space="preserve">2. </w:t>
      </w:r>
      <w:r>
        <w:t>Eksik SGK/ücret kayıtlarının kurumlardan getirtilmesi,</w:t>
      </w:r>
    </w:p>
    <w:p>
      <w:pPr>
        <w:ind w:left="283"/>
      </w:pPr>
      <w:r>
        <w:rPr>
          <w:b/>
        </w:rPr>
        <w:t xml:space="preserve">3. </w:t>
      </w:r>
      <w:r>
        <w:t>Yargılama giderleri ve vekâlet ücreti,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DAVACI/İŞÇİ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SGK hizmet dökümü ve işyeri dosyası</w:t>
      </w:r>
    </w:p>
    <w:p>
      <w:pPr/>
      <w:r>
        <w:t>2. Banka ve bordro kayıtları</w:t>
      </w:r>
    </w:p>
    <w:p>
      <w:pPr/>
      <w:r>
        <w:t>3. Arabuluculuk son tutanağı</w:t>
      </w:r>
    </w:p>
    <w:p>
      <w:pPr/>
      <w:r>
        <w:t>4. Puantaj, giriş-çıkış ve vardiya kayıtları</w:t>
      </w:r>
    </w:p>
    <w:p>
      <w:pPr/>
      <w:r>
        <w:t>5. Tanıklar ve işyeri yazışmaları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İşin yapıldığı yer veya davalı işverenin yerleşim yerindeki İş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Ücret, fazla çalışma, yıllık izin, kıdem ve ihbar tazminatı gibi işçilik alacaklarında ilgili alacağın muaccel olduğu tarihten itibaren beş yıllık zamanaşımı uygulanır.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Dava açmadan önce zorunlu arabuluculuğa başvurulur; son tutanak dava dilekçesine eklenir. Arabuluculukta ileri sürülmeyen alacak kalemleri bakımından dava şartı sorunu doğmaması için kalemler tek tek yazılır.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Davacı □ [BAŞLANGIÇ-SON] tarihleri arasında [GÖREV] olarak çalıştı.</w:t>
      </w:r>
    </w:p>
    <w:p>
      <w:pPr/>
      <w:r>
        <w:t>Gerçek brüt/giydirilmiş ücret □ [TUTAR] TL olup [BANKA/EMSAL/TANIK] ile sabittir.</w:t>
      </w:r>
    </w:p>
    <w:p>
      <w:pPr/>
      <w:r>
        <w:t>Sözleşme □ [FESİH TARİHİ/ŞEKLİ] ile sona erdi.</w:t>
      </w:r>
    </w:p>
    <w:p>
      <w:pPr/>
      <w:r>
        <w:t>□ [KIDEM/İHBAR/ÜCRET/FAZLA MESAİ/İZİN/UBGT] alacakları ödenmedi ve arabuluculukta anlaşma sağlanmadı.</w:t>
      </w:r>
    </w:p>
    <w:p>
      <w:pPr>
        <w:pStyle w:val="Heading2"/>
      </w:pPr>
      <w:r>
        <w:t>Başvuru öncesi kritik kontroller</w:t>
      </w:r>
    </w:p>
    <w:p>
      <w:pPr/>
      <w:r>
        <w:t>□ Arabuluculuk başvurusunda tüm alacak kalemlerini ayrı yazın.</w:t>
      </w:r>
    </w:p>
    <w:p>
      <w:pPr/>
      <w:r>
        <w:t>□ Net, brüt ve giydirilmiş brüt ücret kavramlarını karıştırmayın.</w:t>
      </w:r>
    </w:p>
    <w:p>
      <w:pPr/>
      <w:r>
        <w:t>□ Çalışma saatlerini dönem, gün ve ara dinlenme ayrıntısıyla somutlaştırın.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4857 güncel metni</w:t>
        </w:r>
      </w:hyperlink>
    </w:p>
    <w:p>
      <w:hyperlink r:id="rId12">
        <w:r>
          <w:rPr>
            <w:color w:val="1e3a8a"/>
            <w:u w:val="single"/>
          </w:rPr>
          <w:t>1475 güncel metni</w:t>
        </w:r>
      </w:hyperlink>
    </w:p>
    <w:p>
      <w:hyperlink r:id="rId13">
        <w:r>
          <w:rPr>
            <w:color w:val="1e3a8a"/>
            <w:u w:val="single"/>
          </w:rPr>
          <w:t>7036 güncel metni</w:t>
        </w:r>
      </w:hyperlink>
    </w:p>
    <w:p>
      <w:hyperlink r:id="rId14">
        <w:r>
          <w:rPr>
            <w:color w:val="1e3a8a"/>
            <w:u w:val="single"/>
          </w:rPr>
          <w:t>HMK güncel metni</w:t>
        </w:r>
      </w:hyperlink>
    </w:p>
    <w:p>
      <w:pPr>
        <w:pStyle w:val="Heading2"/>
      </w:pPr>
      <w:r>
        <w:t>İlgili hukuk rehberleri</w:t>
      </w:r>
    </w:p>
    <w:p>
      <w:hyperlink r:id="rId15">
        <w:r>
          <w:rPr>
            <w:color w:val="1e3a8a"/>
            <w:u w:val="single"/>
          </w:rPr>
          <w:t>İşçi hakları rehberi</w:t>
        </w:r>
      </w:hyperlink>
    </w:p>
    <w:p>
      <w:hyperlink r:id="rId16">
        <w:r>
          <w:rPr>
            <w:color w:val="1e3a8a"/>
            <w:u w:val="single"/>
          </w:rPr>
          <w:t>Maaş ödenmezse ne yapılır?</w:t>
        </w:r>
      </w:hyperlink>
    </w:p>
    <w:p>
      <w:hyperlink r:id="rId17">
        <w:r>
          <w:rPr>
            <w:color w:val="1e3a8a"/>
            <w:u w:val="single"/>
          </w:rPr>
          <w:t>İşe iade davası süresi ve şartları</w:t>
        </w:r>
      </w:hyperlink>
    </w:p>
    <w:p>
      <w:hyperlink r:id="rId18">
        <w:r>
          <w:rPr>
            <w:color w:val="1e3a8a"/>
            <w:u w:val="single"/>
          </w:rPr>
          <w:t>UYAP Vatandaş Portalı dosya sorgulama</w:t>
        </w:r>
      </w:hyperlink>
    </w:p>
    <w:p>
      <w:hyperlink r:id="rId19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20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4857.pdf" TargetMode="External"/><Relationship Id="rId12" Type="http://schemas.openxmlformats.org/officeDocument/2006/relationships/hyperlink" Target="https://www.mevzuat.gov.tr/mevzuatmetin/1.5.1475.pdf" TargetMode="External"/><Relationship Id="rId13" Type="http://schemas.openxmlformats.org/officeDocument/2006/relationships/hyperlink" Target="https://www.mevzuat.gov.tr/mevzuatmetin/1.5.7036.pdf" TargetMode="External"/><Relationship Id="rId14" Type="http://schemas.openxmlformats.org/officeDocument/2006/relationships/hyperlink" Target="https://www.mevzuat.gov.tr/mevzuatmetin/1.5.6100.pdf" TargetMode="External"/><Relationship Id="rId15" Type="http://schemas.openxmlformats.org/officeDocument/2006/relationships/hyperlink" Target="https://halilbakirci.av.tr/isci-haklari-nelerdir/" TargetMode="External"/><Relationship Id="rId16" Type="http://schemas.openxmlformats.org/officeDocument/2006/relationships/hyperlink" Target="https://halilbakirci.av.tr/maas-odenmezse-ne-yapilir/" TargetMode="External"/><Relationship Id="rId17" Type="http://schemas.openxmlformats.org/officeDocument/2006/relationships/hyperlink" Target="https://halilbakirci.av.tr/ise-iade-davasi-acma-suresi-sartlari/" TargetMode="External"/><Relationship Id="rId18" Type="http://schemas.openxmlformats.org/officeDocument/2006/relationships/hyperlink" Target="https://halilbakirci.av.tr/uyap-vatandas-portali-dosya-sorgulama/" TargetMode="External"/><Relationship Id="rId19" Type="http://schemas.openxmlformats.org/officeDocument/2006/relationships/hyperlink" Target="https://halilbakirci.av.tr/iletisim/" TargetMode="External"/><Relationship Id="rId20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İşçilik Alacakları Dava Dilekçesi Örneği</dc:title>
  <dc:subject>işçilik alacakları dava dilekçesi</dc:subject>
  <dc:creator>Av. Halil Bakırcı</dc:creator>
  <cp:keywords>işçilik alacakları dava dilekçesi, dilekçe örneği, Word indir, İş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