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İŞE İADE KARARI SONRASI İŞE BAŞLATMA BAŞVURU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İŞVEREN VEYA IŞVEREN VEKILI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2026/218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İşe İade Kararı Sonrası İşe Başlatma Başvuru Dilekçesi kapsamında i̇şçinin yasal sürede işe başlatılması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12.02.2026 — gerçek belge tarihini yazınız</w:t>
            </w:r>
          </w:p>
        </w:tc>
      </w:tr>
    </w:tbl>
    <w:p>
      <w:pPr>
        <w:pStyle w:val="Heading1"/>
      </w:pPr>
      <w:r>
        <w:t>AÇIKLAMALAR</w:t>
      </w:r>
    </w:p>
    <w:p>
      <w:pPr>
        <w:keepLines w:val="0"/>
        <w:ind w:firstLine="340"/>
      </w:pPr>
      <w:r>
        <w:rPr>
          <w:b/>
          <w:color w:val="1E3A8A"/>
        </w:rPr>
        <w:t xml:space="preserve">1. </w:t>
      </w:r>
      <w:r>
        <w:t>Örnek olayda Kesinleşen işe iade kararı üzerine işçi, süresinde ve koşulsuz biçimde işe başlatılmayı talep eder. Başvurucu, uyuşmazlığı 12.02.2026 tarihinde öğrenmiş; ilk yazılı başvurusunu 21.03.2026 tarihinde yapmıştır. Bu tarihler yalnız örnek olup gerçek dosyadaki tebliğ, öğrenme veya işlem tarihleriyle değiştirilmelidir.</w:t>
      </w:r>
    </w:p>
    <w:p>
      <w:pPr>
        <w:keepLines w:val="0"/>
        <w:ind w:firstLine="340"/>
      </w:pPr>
      <w:r>
        <w:rPr>
          <w:b/>
          <w:color w:val="1E3A8A"/>
        </w:rPr>
        <w:t xml:space="preserve">2. </w:t>
      </w:r>
      <w:r>
        <w:t>Mahkeme ve dosya bilgisi tarih, yer, kişi ve belge bağlantısıyla açıklanır. Mahkeme ve dosya bilgisi bakımından olayın başlangıcı, tarafların sıfatı ve işlem tarihi birlikte gösterilmiştir. Bu olgu Kesinleşmiş karar ile doğrulanmakta; belge Ek-1 olarak sunulmaktadır.</w:t>
      </w:r>
    </w:p>
    <w:p>
      <w:pPr>
        <w:keepLines w:val="0"/>
        <w:ind w:firstLine="340"/>
      </w:pPr>
      <w:r>
        <w:rPr>
          <w:b/>
          <w:color w:val="1E3A8A"/>
        </w:rPr>
        <w:t xml:space="preserve">3. </w:t>
      </w:r>
      <w:r>
        <w:t>Kararın kesinleşme tarihi tarih, yer, kişi ve belge bağlantısıyla açıklanır. Kararın kesinleşme tarihi yönünden yalnız sonuç belirtilmemiş, işlemin nasıl gerçekleştiği ve başvurucunun hangi hakkının etkilendiği açıklanmıştır. Kesinleşme şerhi, iddiayı doğrulayan temel kayıt olarak Ek-2 numarasıyla dosyaya eklenmiştir.</w:t>
      </w:r>
    </w:p>
    <w:p>
      <w:pPr>
        <w:keepLines w:val="0"/>
        <w:ind w:firstLine="340"/>
      </w:pPr>
      <w:r>
        <w:rPr>
          <w:b/>
          <w:color w:val="1E3A8A"/>
        </w:rPr>
        <w:t xml:space="preserve">4. </w:t>
      </w:r>
      <w:r>
        <w:t>Tebliğ tarihi tarih, yer, kişi ve belge bağlantısıyla açıklanır. Tebliğ tarihi somutlaştırılırken tarih sırası korunmuş ve karşı tarafın ya da kurumun işlemi açıkça gösterilmiştir. Tebligat belgesi üzerinde yer alan tarih ve kayıt numarası dilekçedeki anlatımla uyumludur.</w:t>
      </w:r>
    </w:p>
    <w:p>
      <w:pPr>
        <w:keepLines w:val="0"/>
        <w:ind w:firstLine="340"/>
      </w:pPr>
      <w:r>
        <w:rPr>
          <w:b/>
          <w:color w:val="1E3A8A"/>
        </w:rPr>
        <w:t xml:space="preserve">5. </w:t>
      </w:r>
      <w:r>
        <w:t>İşe başlama iradesi tarih, yer, kişi ve belge bağlantısıyla açıklanır. İşe başlama iradesi başlığı altında başvurunun hukuki yararı açıklanmıştır. İstenen sonucun neden gerekli olduğu, Kimlik ve iletişim bilgisi ile talep arasındaki bağlantı kurularak gösterilmiştir.</w:t>
      </w:r>
    </w:p>
    <w:p>
      <w:pPr>
        <w:keepLines w:val="0"/>
        <w:ind w:firstLine="340"/>
      </w:pPr>
      <w:r>
        <w:rPr>
          <w:b/>
          <w:color w:val="1E3A8A"/>
        </w:rPr>
        <w:t xml:space="preserve">6. </w:t>
      </w:r>
      <w:r>
        <w:t>İletişim ve uygun başlama tarihi tarih, yer, kişi ve belge bağlantısıyla açıklanır. İletişim ve uygun başlama tarihi konusunda örnek olayın özel koşulları belirtilmiş; varsayıma dayalı ifade kullanılmamıştır. Noter/KEP teslim belgesi mevcut değilse belgenin hangi kurumdan ve hangi dönem için getirtilmesi istendiği ayrıca yazılmalıdır.</w:t>
      </w:r>
    </w:p>
    <w:p>
      <w:pPr>
        <w:pStyle w:val="Heading1"/>
      </w:pPr>
      <w:r>
        <w:t>HUKUKİ DEĞERLENDİRME</w:t>
      </w:r>
    </w:p>
    <w:p>
      <w:r>
        <w:t>Başvurunun hukuki dayanağı 4857 sayılı İş Kanunu m.21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4857 sayılı İş Kanunu m.21</w:t>
      </w:r>
    </w:p>
    <w:p>
      <w:r>
        <w:t>4857 sayılı İş Kanunu m.21 hükümleri başvurunun maddi ve usul şartlarını belirler. Güncel resmî metin, tebliğ ve işlem tarihinde birlikte değerlendirilir.</w:t>
      </w:r>
    </w:p>
    <w:p>
      <w:pPr>
        <w:pStyle w:val="Heading1"/>
      </w:pPr>
      <w:r>
        <w:t>DELİLLER</w:t>
      </w:r>
    </w:p>
    <w:p>
      <w:r>
        <w:t>1. Ek-1: Kesinleşmiş karar — ilgili olay paragrafını doğrulayan tarihli ve okunaklı kayıt.</w:t>
      </w:r>
    </w:p>
    <w:p>
      <w:r>
        <w:t>2. Ek-2: Kesinleşme şerhi — ilgili olay paragrafını doğrulayan tarihli ve okunaklı kayıt.</w:t>
      </w:r>
    </w:p>
    <w:p>
      <w:r>
        <w:t>3. Ek-3: Tebligat belgesi — ilgili olay paragrafını doğrulayan tarihli ve okunaklı kayıt.</w:t>
      </w:r>
    </w:p>
    <w:p>
      <w:r>
        <w:t>4. Ek-4: Kimlik ve iletişim bilgisi — ilgili olay paragrafını doğrulayan tarihli ve okunaklı kayıt.</w:t>
      </w:r>
    </w:p>
    <w:p>
      <w:r>
        <w:t>5. Ek-5: Noter/KEP teslim belgesi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4857 sayılı İş Kanunu m.21 ve somut olaya uygulanacak diğer mevzuat.</w:t>
      </w:r>
    </w:p>
    <w:p>
      <w:pPr>
        <w:pStyle w:val="Heading1"/>
      </w:pPr>
      <w:r>
        <w:t>SONUÇ VE İSTEM</w:t>
      </w:r>
    </w:p>
    <w:p>
      <w:pPr>
        <w:keepNext/>
      </w:pPr>
      <w:r>
        <w:t>Yukarıda açıklanan ve resen dikkate alınacak nedenlerle;</w:t>
      </w:r>
    </w:p>
    <w:p>
      <w:r>
        <w:t>1. İşçinin yasal sürede işe başlatılması.</w:t>
      </w:r>
    </w:p>
    <w:p>
      <w:r>
        <w:t>2. Başlama yer ve tarihinin bildirilmesi.</w:t>
      </w:r>
    </w:p>
    <w:p>
      <w:r>
        <w:t>3. Boşta geçen süre ücreti ve diğer hakların ödenmesi.</w:t>
      </w:r>
    </w:p>
    <w:p>
      <w:r>
        <w:t>4. Başlatılmama hâlinde tazminat haklarının saklı tutulması.</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21.03.2026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Kesinleşmiş karar</w:t>
      </w:r>
    </w:p>
    <w:p>
      <w:r>
        <w:t>2. Kesinleşme şerhi</w:t>
      </w:r>
    </w:p>
    <w:p>
      <w:r>
        <w:t>3. Tebligat belgesi</w:t>
      </w:r>
    </w:p>
    <w:p>
      <w:r>
        <w:t>4. Kimlik ve iletişim bilgisi</w:t>
      </w:r>
    </w:p>
    <w:p>
      <w:r>
        <w:t>5. Noter/KEP teslim belgesi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İşveren veya işveren vekili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Kesinleşen işe iade kararının tebliğinden itibaren 10 iş günü içinde işverene başvurulur.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Kararın kesinleşmesi ve tebliğ belgesi doğrulanır; başvuru ispatlanabilir yöntemle gönderilir.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12.02.2026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Kesinleşmiş karar</w:t>
            </w:r>
          </w:p>
        </w:tc>
      </w:tr>
      <w:tr>
        <w:tc>
          <w:tcPr>
            <w:tcW w:type="dxa" w:w="3457"/>
            <w:tcMar>
              <w:top w:w="110" w:type="dxa"/>
              <w:start w:w="120" w:type="dxa"/>
              <w:bottom w:w="110" w:type="dxa"/>
              <w:end w:w="120" w:type="dxa"/>
            </w:tcMar>
          </w:tcPr>
          <w:p>
            <w:r>
              <w:t>21.03.2026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Kesinleşme şerhi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Tebligat belgesi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Mahkeme ve dosya bilgisi</w:t>
            </w:r>
          </w:p>
        </w:tc>
        <w:tc>
          <w:tcPr>
            <w:tcW w:type="dxa" w:w="3457"/>
            <w:tcMar>
              <w:top w:w="110" w:type="dxa"/>
              <w:start w:w="120" w:type="dxa"/>
              <w:bottom w:w="110" w:type="dxa"/>
              <w:end w:w="120" w:type="dxa"/>
            </w:tcMar>
          </w:tcPr>
          <w:p>
            <w:r>
              <w:t>Kesinleşmiş karar</w:t>
            </w:r>
          </w:p>
        </w:tc>
        <w:tc>
          <w:tcPr>
            <w:tcW w:type="dxa" w:w="3457"/>
            <w:tcMar>
              <w:top w:w="110" w:type="dxa"/>
              <w:start w:w="120" w:type="dxa"/>
              <w:bottom w:w="110" w:type="dxa"/>
              <w:end w:w="120" w:type="dxa"/>
            </w:tcMar>
          </w:tcPr>
          <w:p>
            <w:r>
              <w:t>İşçinin yasal sürede işe başlatılması</w:t>
            </w:r>
          </w:p>
        </w:tc>
      </w:tr>
      <w:tr>
        <w:tc>
          <w:tcPr>
            <w:tcW w:type="dxa" w:w="3457"/>
            <w:tcMar>
              <w:top w:w="110" w:type="dxa"/>
              <w:start w:w="120" w:type="dxa"/>
              <w:bottom w:w="110" w:type="dxa"/>
              <w:end w:w="120" w:type="dxa"/>
            </w:tcMar>
          </w:tcPr>
          <w:p>
            <w:r>
              <w:t>Kararın kesinleşme tarihi</w:t>
            </w:r>
          </w:p>
        </w:tc>
        <w:tc>
          <w:tcPr>
            <w:tcW w:type="dxa" w:w="3457"/>
            <w:tcMar>
              <w:top w:w="110" w:type="dxa"/>
              <w:start w:w="120" w:type="dxa"/>
              <w:bottom w:w="110" w:type="dxa"/>
              <w:end w:w="120" w:type="dxa"/>
            </w:tcMar>
          </w:tcPr>
          <w:p>
            <w:r>
              <w:t>Kesinleşme şerhi</w:t>
            </w:r>
          </w:p>
        </w:tc>
        <w:tc>
          <w:tcPr>
            <w:tcW w:type="dxa" w:w="3457"/>
            <w:tcMar>
              <w:top w:w="110" w:type="dxa"/>
              <w:start w:w="120" w:type="dxa"/>
              <w:bottom w:w="110" w:type="dxa"/>
              <w:end w:w="120" w:type="dxa"/>
            </w:tcMar>
          </w:tcPr>
          <w:p>
            <w:r>
              <w:t>Başlama yer ve tarihinin bildirilmesi</w:t>
            </w:r>
          </w:p>
        </w:tc>
      </w:tr>
      <w:tr>
        <w:tc>
          <w:tcPr>
            <w:tcW w:type="dxa" w:w="3457"/>
            <w:tcMar>
              <w:top w:w="110" w:type="dxa"/>
              <w:start w:w="120" w:type="dxa"/>
              <w:bottom w:w="110" w:type="dxa"/>
              <w:end w:w="120" w:type="dxa"/>
            </w:tcMar>
          </w:tcPr>
          <w:p>
            <w:r>
              <w:t>Tebliğ tarihi</w:t>
            </w:r>
          </w:p>
        </w:tc>
        <w:tc>
          <w:tcPr>
            <w:tcW w:type="dxa" w:w="3457"/>
            <w:tcMar>
              <w:top w:w="110" w:type="dxa"/>
              <w:start w:w="120" w:type="dxa"/>
              <w:bottom w:w="110" w:type="dxa"/>
              <w:end w:w="120" w:type="dxa"/>
            </w:tcMar>
          </w:tcPr>
          <w:p>
            <w:r>
              <w:t>Tebligat belgesi</w:t>
            </w:r>
          </w:p>
        </w:tc>
        <w:tc>
          <w:tcPr>
            <w:tcW w:type="dxa" w:w="3457"/>
            <w:tcMar>
              <w:top w:w="110" w:type="dxa"/>
              <w:start w:w="120" w:type="dxa"/>
              <w:bottom w:w="110" w:type="dxa"/>
              <w:end w:w="120" w:type="dxa"/>
            </w:tcMar>
          </w:tcPr>
          <w:p>
            <w:r>
              <w:t>Boşta geçen süre ücreti ve diğer hakların ödenmesi</w:t>
            </w:r>
          </w:p>
        </w:tc>
      </w:tr>
      <w:tr>
        <w:tc>
          <w:tcPr>
            <w:tcW w:type="dxa" w:w="3457"/>
            <w:tcMar>
              <w:top w:w="110" w:type="dxa"/>
              <w:start w:w="120" w:type="dxa"/>
              <w:bottom w:w="110" w:type="dxa"/>
              <w:end w:w="120" w:type="dxa"/>
            </w:tcMar>
          </w:tcPr>
          <w:p>
            <w:r>
              <w:t>İşe başlama iradesi</w:t>
            </w:r>
          </w:p>
        </w:tc>
        <w:tc>
          <w:tcPr>
            <w:tcW w:type="dxa" w:w="3457"/>
            <w:tcMar>
              <w:top w:w="110" w:type="dxa"/>
              <w:start w:w="120" w:type="dxa"/>
              <w:bottom w:w="110" w:type="dxa"/>
              <w:end w:w="120" w:type="dxa"/>
            </w:tcMar>
          </w:tcPr>
          <w:p>
            <w:r>
              <w:t>Kimlik ve iletişim bilgisi</w:t>
            </w:r>
          </w:p>
        </w:tc>
        <w:tc>
          <w:tcPr>
            <w:tcW w:type="dxa" w:w="3457"/>
            <w:tcMar>
              <w:top w:w="110" w:type="dxa"/>
              <w:start w:w="120" w:type="dxa"/>
              <w:bottom w:w="110" w:type="dxa"/>
              <w:end w:w="120" w:type="dxa"/>
            </w:tcMar>
          </w:tcPr>
          <w:p>
            <w:r>
              <w:t>Başlatılmama hâlinde tazminat haklarının saklı tutulması</w:t>
            </w:r>
          </w:p>
        </w:tc>
      </w:tr>
      <w:tr>
        <w:tc>
          <w:tcPr>
            <w:tcW w:type="dxa" w:w="3457"/>
            <w:tcMar>
              <w:top w:w="110" w:type="dxa"/>
              <w:start w:w="120" w:type="dxa"/>
              <w:bottom w:w="110" w:type="dxa"/>
              <w:end w:w="120" w:type="dxa"/>
            </w:tcMar>
          </w:tcPr>
          <w:p>
            <w:r>
              <w:t>İletişim ve uygun başlama tarihi</w:t>
            </w:r>
          </w:p>
        </w:tc>
        <w:tc>
          <w:tcPr>
            <w:tcW w:type="dxa" w:w="3457"/>
            <w:tcMar>
              <w:top w:w="110" w:type="dxa"/>
              <w:start w:w="120" w:type="dxa"/>
              <w:bottom w:w="110" w:type="dxa"/>
              <w:end w:w="120" w:type="dxa"/>
            </w:tcMar>
          </w:tcPr>
          <w:p>
            <w:r>
              <w:t>Noter/KEP teslim belgesi</w:t>
            </w:r>
          </w:p>
        </w:tc>
        <w:tc>
          <w:tcPr>
            <w:tcW w:type="dxa" w:w="3457"/>
            <w:tcMar>
              <w:top w:w="110" w:type="dxa"/>
              <w:start w:w="120" w:type="dxa"/>
              <w:bottom w:w="110" w:type="dxa"/>
              <w:end w:w="120" w:type="dxa"/>
            </w:tcMar>
          </w:tcPr>
          <w:p>
            <w:r>
              <w:t>İşçinin yasal sürede işe başlatılması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Kesinleşen işe iade kararının tebliğinden itibaren 10 iş günü içinde işverene başvurulur.</w:t>
      </w:r>
    </w:p>
    <w:p>
      <w:r>
        <w:t>• Görev/yetki riski: İşveren veya işveren vekili</w:t>
      </w:r>
    </w:p>
    <w:p>
      <w:r>
        <w:t>• Ön koşul riski: Kararın kesinleşmesi ve tebliğ belgesi doğrulanır; başvuru ispatlanabilir yöntemle gönderilir.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İade Kararı Sonrası İşe Başlatma Başvuru Dilekçesi Örneği 2026 | Word İndir</dc:title>
  <dc:subject>işe başlatma başvuru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