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rFonts w:ascii="Aptos" w:hAnsi="Aptos"/>
          <w:b/>
          <w:color w:val="000000"/>
          <w:sz w:val="28"/>
        </w:rPr>
        <w:t>[....] İŞ MAHKEMESİNE</w:t>
      </w:r>
    </w:p>
    <w:p>
      <w:r>
        <w:rPr>
          <w:b/>
        </w:rPr>
        <w:t>ESAS NO</w:t>
      </w:r>
      <w:r>
        <w:t xml:space="preserve"> : [20../... E.]</w:t>
      </w:r>
    </w:p>
    <w:p>
      <w:r>
        <w:rPr>
          <w:b/>
        </w:rPr>
        <w:t>DAVALI</w:t>
      </w:r>
      <w:r>
        <w:t xml:space="preserve"> : [Ad soyad / unvan ve adres]</w:t>
      </w:r>
    </w:p>
    <w:p>
      <w:r>
        <w:rPr>
          <w:b/>
        </w:rPr>
        <w:t>VEKİLİ</w:t>
      </w:r>
      <w:r>
        <w:t xml:space="preserve"> : Av. [Ad Soyad, baro sicil ve adres]</w:t>
      </w:r>
    </w:p>
    <w:p>
      <w:r>
        <w:rPr>
          <w:b/>
        </w:rPr>
        <w:t>DAVACI</w:t>
      </w:r>
      <w:r>
        <w:t xml:space="preserve"> : [Ad soyad / unvan ve adres]</w:t>
      </w:r>
    </w:p>
    <w:p>
      <w:r>
        <w:rPr>
          <w:b/>
        </w:rPr>
        <w:t>İLGİLİ EVRAK</w:t>
      </w:r>
      <w:r>
        <w:t xml:space="preserve"> : [15/09/2026 tarihli, UYAP evrak no ... olan kısmi ıslah dilekçesi]</w:t>
      </w:r>
    </w:p>
    <w:p>
      <w:r>
        <w:rPr>
          <w:b/>
        </w:rPr>
        <w:t>KONU</w:t>
      </w:r>
      <w:r>
        <w:t xml:space="preserve"> : Duruşma dışında sunulan ıslah dilekçesi ile eklerinin HMK m. 177/2 uyarınca tarafımıza bildirilmesi, açıklama için süre verilmesi ve bu işlemler tamamlanmadan artırılan talep üzerinden hüküm kurulmaması talebidir.</w:t>
      </w:r>
    </w:p>
    <w:p>
      <w:pPr>
        <w:keepNext/>
      </w:pPr>
      <w:r>
        <w:rPr>
          <w:b/>
        </w:rPr>
        <w:t>AÇIKLAMALAR</w:t>
      </w:r>
    </w:p>
    <w:p>
      <w:r>
        <w:t>1. Davacı, Mahkemenizin yukarıda esas numarası yazılı dosyasına 15/09/2026 tarihinde duruşma dışında sunduğu kısmi ıslah dilekçesiyle dava dilekçesindeki 50.000 TL talep sonucunu 280.000 TL’ye yükseltmiştir. Islah dilekçesi UYAP evrak listesinde [evrak no] ile kayıtlıdır.</w:t>
      </w:r>
    </w:p>
    <w:p>
      <w:r>
        <w:t>2. Islah dilekçesi ve ekleri tarafımıza elektronik veya fiziki yolla bildirilmemiştir. UYAP tebligat listesinde bu evraka ilişkin gönderim ve teslim kaydı bulunmamaktadır. Dilekçeye dayanak gösterilen hesap çizelgesi ile harç makbuzu da tarafımıza ulaştırılmamıştır.</w:t>
      </w:r>
    </w:p>
    <w:p>
      <w:r>
        <w:t>3. HMK m. 177/2 açık biçimde, karşı taraf duruşmada hazır değilse veya ıslah talebi duruşma dışında yapılıyorsa yazılı talebin ya da tutanak örneğinin haber vermek amacıyla karşı tarafa bildirileceğini düzenler. Somut ıslah duruşma dışında yazılı olarak yapılmıştır.</w:t>
      </w:r>
    </w:p>
    <w:p>
      <w:r>
        <w:t>4. Dosyada belgenin UYAP evrak listesinde görülmesi, HMK m. 177/2’de emredilen bildirim kaydının yerine geçmez. Bildirimin hangi belge ve ekleri kapsadığı, gönderim ve teslim tarihi ile yöntemi dosyada denetlenebilir olmalıdır.</w:t>
      </w:r>
    </w:p>
    <w:p>
      <w:r>
        <w:t>5. HMK m. 27 uyarınca taraflar yargılamayla ilgili bilgi sahibi olma, açıklama ve ispat hakkına sahiptir. Talebin 230.000 TL artırılması; hesap dönemleri, zamanaşımı, ödeme, mahsup, faiz başlangıcı ve hesap yöntemi yönünden açıklama yapmamızı gerektirmektedir.</w:t>
      </w:r>
    </w:p>
    <w:p>
      <w:r>
        <w:t>6. HMK m. 177/2 bildirimden sonra kullanılacak açıklama süresi için belirli bir gün sayısı düzenlememiştir. Bu nedenle Mahkemenizce, tebliğden başlamak üzere ıslahın kapsamına uygun belirli bir süre verilmesini talep ediyoruz.</w:t>
      </w:r>
    </w:p>
    <w:p>
      <w:r>
        <w:t>7. İşbu başvuru, ıslahın otomatik olarak geçersiz sayıldığı iddiasına dayanmamaktadır. Talebimiz kanunun emrettiği bildirimin tamamlanması ve açıklama hakkımız kullanılmadan artırılan miktar esas alınarak tahkikatın bitirilmemesidir.</w:t>
      </w:r>
    </w:p>
    <w:p>
      <w:r>
        <w:t>8. Islahın süresi, sayısı, harcı, kapsamı ile zamanaşımı ve esasa ilişkin itirazlarımız bu bildirim talebinden ayrıdır. Dilekçe ve ekler usulüne uygun bildirildikten sonra somut kayıtlar üzerinden ayrıca sunma hakkımızı saklı tutuyoruz.</w:t>
      </w:r>
    </w:p>
    <w:p>
      <w:pPr>
        <w:keepNext/>
        <w:pageBreakBefore/>
      </w:pPr>
      <w:r>
        <w:rPr>
          <w:b/>
        </w:rPr>
        <w:t>İNCELENMESİ İSTENEN KAYITLAR</w:t>
      </w:r>
    </w:p>
    <w:p>
      <w:r>
        <w:t>1. 15/09/2026 tarihli ıslah dilekçesinin tam elektronik sürümü ve tüm ekleri.</w:t>
      </w:r>
    </w:p>
    <w:p>
      <w:r>
        <w:t>2. Islah evrakına ilişkin UYAP elektronik veya fiziki tebligat listesi.</w:t>
      </w:r>
    </w:p>
    <w:p>
      <w:r>
        <w:t>3. Gönderilen belgenin adı, gönderim tarihi, teslim tarihi ve alıcı bilgisi.</w:t>
      </w:r>
    </w:p>
    <w:p>
      <w:r>
        <w:t>4. İlk talep sonucu ile ıslah edilen talep sonucunu gösteren dava ve ıslah dilekçeleri.</w:t>
      </w:r>
    </w:p>
    <w:p>
      <w:r>
        <w:t>5. Islah harcı makbuzu ve artırılan miktar hesap çizelgesi [varsa].</w:t>
      </w:r>
    </w:p>
    <w:p>
      <w:pPr>
        <w:keepNext/>
      </w:pPr>
      <w:r>
        <w:rPr>
          <w:b/>
        </w:rPr>
        <w:t>HUKUKİ NEDENLER</w:t>
      </w:r>
    </w:p>
    <w:p>
      <w:r>
        <w:t>6100 sayılı Hukuk Muhakemeleri Kanunu m. 27, 176, 177 ve ilgili diğer hükümler; 7201 sayılı Tebligat Kanunu ve ilgili mevzuat.</w:t>
      </w:r>
    </w:p>
    <w:p>
      <w:pPr>
        <w:keepNext/>
      </w:pPr>
      <w:r>
        <w:rPr>
          <w:b/>
        </w:rPr>
        <w:t>SONUÇ VE İSTEM</w:t>
      </w:r>
    </w:p>
    <w:p>
      <w:r>
        <w:t>Açıklanan nedenlerle; 15/09/2026 tarihli ve [UYAP evrak no] olan kısmi ıslah dilekçesi ile bütün eklerinin HMK m. 177/2 uyarınca tarafımıza USULÜNE UYGUN BİLDİRİLMESİNE; bildirim yöntemi ve tarihinin dosya kaydında gösterilmesine; tebliğden itibaren HMK m. 27 kapsamındaki açıklama ve ispat hakkımızı kullanabilmemiz için Mahkemenizce BELİRLİ SÜRE VERİLMESİNE; bildirim ve açıklama süreci tamamlanmadan ıslah edilen 280.000 TL talep üzerinden tahkikatın bitirilmemesine ve hüküm kurulmamasına karar verilmesini saygıyla arz ve talep ederiz. 29/09/2026</w:t>
      </w:r>
    </w:p>
    <w:p>
      <w:pPr>
        <w:spacing w:after="200"/>
        <w:jc w:val="right"/>
      </w:pPr>
      <w:r>
        <w:t>Davalı Vekili</w:t>
        <w:br/>
        <w:t>Av. Halil BAKIRCI</w:t>
        <w:br/>
        <w:t>Mersin Barosu Sicil No 3472</w:t>
        <w:br/>
        <w:t>(E-İMZALIDIR)</w:t>
      </w:r>
    </w:p>
    <w:p>
      <w:pPr>
        <w:keepNext/>
      </w:pPr>
      <w:r>
        <w:rPr>
          <w:b/>
        </w:rPr>
        <w:t>EKLER</w:t>
      </w:r>
    </w:p>
    <w:p>
      <w:pPr>
        <w:pStyle w:val="ListBullet"/>
      </w:pPr>
      <w:r>
        <w:t>Ek-1: 15/09/2026 tarihli UYAP evrak listesi</w:t>
      </w:r>
    </w:p>
    <w:p>
      <w:pPr>
        <w:pStyle w:val="ListBullet"/>
      </w:pPr>
      <w:r>
        <w:t>Ek-2: Tebligat listesini gösteren UYAP çıktısı</w:t>
      </w:r>
    </w:p>
    <w:p>
      <w:pPr>
        <w:pStyle w:val="ListBullet"/>
      </w:pPr>
      <w:r>
        <w:t>Ek-3: Islah dilekçesinin görüntülenebilen örneği</w:t>
      </w:r>
    </w:p>
    <w:p>
      <w:pPr>
        <w:pStyle w:val="ListBullet"/>
      </w:pPr>
      <w:r>
        <w:t>Ek-4: Son duruşma tutanağı ve sonraki duruşma günü</w:t>
      </w:r>
    </w:p>
    <w:p>
      <w:pPr>
        <w:pStyle w:val="ListBullet"/>
      </w:pPr>
      <w:r>
        <w:t>Ek-5: Vekâletname örneği [dosyada yoksa]</w:t>
      </w:r>
    </w:p>
    <w:p>
      <w:pPr>
        <w:keepNext/>
      </w:pPr>
      <w:r>
        <w:rPr>
          <w:b/>
        </w:rPr>
        <w:t>DOLDURMA KONTROLÜ SUNULACAK NÜSHADAN ÇIKARIN</w:t>
      </w:r>
    </w:p>
    <w:p>
      <w:pPr>
        <w:pStyle w:val="ListBullet"/>
      </w:pPr>
      <w:r>
        <w:rPr>
          <w:i/>
        </w:rPr>
        <w:t>Mahkeme, esas, taraf ve evrak numarasını gerçek dosyadan yazın.</w:t>
      </w:r>
    </w:p>
    <w:p>
      <w:pPr>
        <w:pStyle w:val="ListBullet"/>
      </w:pPr>
      <w:r>
        <w:rPr>
          <w:i/>
        </w:rPr>
        <w:t>İlk ve ıslah edilen talep miktarlarını dosyadaki taleple eşleştirin.</w:t>
      </w:r>
    </w:p>
    <w:p>
      <w:pPr>
        <w:pStyle w:val="ListBullet"/>
      </w:pPr>
      <w:r>
        <w:rPr>
          <w:i/>
        </w:rPr>
        <w:t>Elektronik veya fiziki bildirim kaydını son kez kontrol edin.</w:t>
      </w:r>
    </w:p>
    <w:p>
      <w:pPr>
        <w:pStyle w:val="ListBullet"/>
      </w:pPr>
      <w:r>
        <w:rPr>
          <w:i/>
        </w:rPr>
        <w:t>Zamanaşımı veya başka bir defi varsa bu dilekçeden ayrı ve açık biçimde kurun.</w:t>
      </w:r>
    </w:p>
    <w:p>
      <w:pPr>
        <w:pStyle w:val="ListBullet"/>
      </w:pPr>
      <w:r>
        <w:rPr>
          <w:i/>
        </w:rPr>
        <w:t>Nihai karar verilmişse kanun yolu süresini ayrıca takip edin.</w:t>
      </w:r>
    </w:p>
    <w:p>
      <w:pPr>
        <w:pStyle w:val="ListBullet"/>
      </w:pPr>
      <w:r>
        <w:rPr>
          <w:i/>
        </w:rPr>
        <w:t>Köşeli alanları ve kullanılmayan seçenekleri silip bu kontrol bölümünü nihai nüshadan çıkarın.</w:t>
      </w:r>
    </w:p>
    <w:sectPr w:rsidR="00FC693F" w:rsidRPr="0006063C" w:rsidSect="00034616">
      <w:pgSz w:w="12240" w:h="15840"/>
      <w:pgMar w:top="979" w:right="1181" w:bottom="893"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70" w:line="240" w:lineRule="auto"/>
    </w:pPr>
    <w:rPr>
      <w:rFonts w:ascii="Aptos" w:hAnsi="Aptos"/>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