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GÖREVLİ ASLİYE HUKUK MAHKEMESİNE</w:t>
      </w:r>
    </w:p>
    <w:p>
      <w:r>
        <w:rPr>
          <w:b/>
        </w:rPr>
        <w:t>ESAS NO</w:t>
      </w:r>
      <w:r>
        <w:t xml:space="preserve"> : [20../... E.]</w:t>
      </w:r>
    </w:p>
    <w:p>
      <w:r>
        <w:rPr>
          <w:b/>
        </w:rPr>
        <w:t>DAVALI</w:t>
      </w:r>
      <w:r>
        <w:t xml:space="preserve"> : [Ad soyad veya unvan ve adres]</w:t>
      </w:r>
    </w:p>
    <w:p>
      <w:r>
        <w:rPr>
          <w:b/>
        </w:rPr>
        <w:t>VEKİLİ</w:t>
      </w:r>
      <w:r>
        <w:t xml:space="preserve"> : Av. Halil BAKIRCI, Mersin Barosu Sicil No 3472</w:t>
      </w:r>
    </w:p>
    <w:p>
      <w:r>
        <w:rPr>
          <w:b/>
        </w:rPr>
        <w:t>DAVACI</w:t>
      </w:r>
      <w:r>
        <w:t xml:space="preserve"> : [Ad soyad veya unvan ve adres]</w:t>
      </w:r>
    </w:p>
    <w:p>
      <w:r>
        <w:rPr>
          <w:b/>
        </w:rPr>
        <w:t>İLGİLİ EVRAK</w:t>
      </w:r>
      <w:r>
        <w:t xml:space="preserve"> : [Tarih] tarihli ve [UYAP evrak no] numaralı ıslah dilekçesi</w:t>
      </w:r>
    </w:p>
    <w:p>
      <w:r>
        <w:rPr>
          <w:b/>
        </w:rPr>
        <w:t>KONU</w:t>
      </w:r>
      <w:r>
        <w:t xml:space="preserve"> : HMK m. 178 uyarınca ıslah sebebiyle ortaya çıkan yargılama giderleri ile uğradığımız ve uğrayabileceğimiz zararları karşılayacak teminatın belirlenmesi; ıslah eden tarafa teminatı mahkeme veznesine yatırması için bir haftalık süre verilmesi talebidir.</w:t>
      </w:r>
    </w:p>
    <w:p>
      <w:pPr>
        <w:keepNext/>
      </w:pPr>
      <w:r>
        <w:rPr>
          <w:b/>
        </w:rPr>
        <w:t>AÇIKLAMALAR</w:t>
      </w:r>
    </w:p>
    <w:p>
      <w:r>
        <w:t>1. Davacı, [tarih] tarihli ıslah dilekçesiyle başlangıçta [ilk talep] olarak ileri sürdüğü talebini [ıslah edilmiş talep] şeklinde değiştirmiştir. Islah, ilk keşif ve bilirkişi incelemesi tamamlandıktan sonra yapılmıştır.</w:t>
      </w:r>
    </w:p>
    <w:p>
      <w:r>
        <w:t>2. İlk inceleme yalnız [ilk teknik konu] hakkında yürütülmüştür. Islahla dosyaya eklenen [yeni teknik konu], farklı ölçümlerin yapılmasını, [belge adı] kayıtlarının incelenmesini ve bilirkişiden yeni değerlendirme alınmasını zorunlu kılmaktadır.</w:t>
      </w:r>
    </w:p>
    <w:p>
      <w:r>
        <w:t>3. HMK m. 178/1 uyarınca ıslah eden taraf, ıslah sebebiyle geçersiz hâle gelen işlemler için yapılan yargılama giderleri ile karşı tarafın uğradığı ve uğrayabileceği zararları karşılamak üzere hâkimin takdir edeceği teminatı bir hafta içinde mahkeme veznesine yatırmak zorundadır. Aksi hâlde ıslah yapılmamış sayılır.</w:t>
      </w:r>
    </w:p>
    <w:p>
      <w:r>
        <w:t>4. HMK m. 179/2’de sayılan delillerin ıslahla kendiliğinden geçersiz olduğu ileri sürülmemektedir. Ancak yeni tahkikat konusu nedeniyle önceki incelemenin [belirli bölüm] yönünden yeterli olmayacağı ve aşağıdaki işlemlerin tekrarlanacağı dosya kapsamından anlaşılmaktadır.</w:t>
      </w:r>
    </w:p>
    <w:p>
      <w:r>
        <w:t>5. Gerçekleşmiş giderlerimiz; [tarih] tarihli keşif için [tutar] TL, bilirkişi avansı için [tutar] TL ve zorunlu teknik belge temini için [tutar] TL’dir. Makbuzlar ve ara kararlar eklerdedir. Islah nedeniyle yapılması gereken yeni incelemenin öngörülebilir gideri [tutar] TL olarak belgeli hesap cetvelinde gösterilmiştir.</w:t>
      </w:r>
    </w:p>
    <w:p>
      <w:r>
        <w:t>6. Talep edilen tutar cezalandırma amacı taşımamakta; yalnız ıslahla nedensellik bağı bulunan gerçekleşmiş giderleri ve hesaplanabilir zarar riskini kapsamaktadır. Zarar kesin olarak belirlendiğinde HMK m. 178/2 uyarınca eksik tutarın tamamlattırılması veya fazlanın iadesi mümkündür.</w:t>
      </w:r>
    </w:p>
    <w:p>
      <w:r>
        <w:t>7. Teminat miktarının ara kararla açıkça belirlenmesini, kararın ıslah eden tarafa usulüne uygun bildirilmesini ve kanuni bir haftalık ödeme süresinin dosyada denetlenebilir biçimde işletilmesini talep ediyoruz.</w:t>
      </w:r>
    </w:p>
    <w:p>
      <w:r>
        <w:t>8. Süre sonunda ödeme makbuzu bulunmadığı takdirde HMK m. 178/1’in açık sonucu uygulanmalı; ıslah yapılmamış sayılarak yargılama ıslah öncesindeki usul durumuna göre sürdürülmelidir.</w:t>
      </w:r>
    </w:p>
    <w:p>
      <w:pPr>
        <w:keepNext/>
        <w:pageBreakBefore/>
      </w:pPr>
      <w:r>
        <w:rPr>
          <w:b/>
        </w:rPr>
        <w:t>TEMİNAT HESAP CETVELİ</w:t>
      </w:r>
    </w:p>
    <w:tbl>
      <w:tblPr>
        <w:tblStyle w:val="TableGrid"/>
        <w:tblW w:type="auto" w:w="0"/>
        <w:tblLook w:firstColumn="1" w:firstRow="1" w:lastColumn="0" w:lastRow="0" w:noHBand="0" w:noVBand="1" w:val="04A0"/>
      </w:tblPr>
      <w:tblGrid>
        <w:gridCol w:w="2498"/>
        <w:gridCol w:w="2498"/>
        <w:gridCol w:w="2498"/>
        <w:gridCol w:w="2498"/>
      </w:tblGrid>
      <w:tr>
        <w:tc>
          <w:tcPr>
            <w:tcW w:type="dxa" w:w="2498"/>
          </w:tcPr>
          <w:p>
            <w:pPr>
              <w:spacing w:after="0" w:line="216" w:lineRule="auto"/>
            </w:pPr>
            <w:r>
              <w:rPr>
                <w:b/>
                <w:sz w:val="18"/>
              </w:rPr>
              <w:t>Gider veya zarar kalemi</w:t>
            </w:r>
          </w:p>
        </w:tc>
        <w:tc>
          <w:tcPr>
            <w:tcW w:type="dxa" w:w="2498"/>
          </w:tcPr>
          <w:p>
            <w:pPr>
              <w:spacing w:after="0" w:line="216" w:lineRule="auto"/>
            </w:pPr>
            <w:r>
              <w:rPr>
                <w:b/>
                <w:sz w:val="18"/>
              </w:rPr>
              <w:t>Belge tarihi ve numarası</w:t>
            </w:r>
          </w:p>
        </w:tc>
        <w:tc>
          <w:tcPr>
            <w:tcW w:type="dxa" w:w="2498"/>
          </w:tcPr>
          <w:p>
            <w:pPr>
              <w:spacing w:after="0" w:line="216" w:lineRule="auto"/>
            </w:pPr>
            <w:r>
              <w:rPr>
                <w:b/>
                <w:sz w:val="18"/>
              </w:rPr>
              <w:t>Gerçekleşen</w:t>
            </w:r>
          </w:p>
        </w:tc>
        <w:tc>
          <w:tcPr>
            <w:tcW w:type="dxa" w:w="2498"/>
          </w:tcPr>
          <w:p>
            <w:pPr>
              <w:spacing w:after="0" w:line="216" w:lineRule="auto"/>
            </w:pPr>
            <w:r>
              <w:rPr>
                <w:b/>
                <w:sz w:val="18"/>
              </w:rPr>
              <w:t>Öngörülen</w:t>
            </w:r>
          </w:p>
        </w:tc>
      </w:tr>
      <w:tr>
        <w:tc>
          <w:tcPr>
            <w:tcW w:type="dxa" w:w="2498"/>
          </w:tcPr>
          <w:p>
            <w:pPr>
              <w:spacing w:after="0" w:line="216" w:lineRule="auto"/>
            </w:pPr>
            <w:r>
              <w:rPr>
                <w:sz w:val="18"/>
              </w:rPr>
              <w:t>[İlk keşif gideri]</w:t>
            </w:r>
          </w:p>
        </w:tc>
        <w:tc>
          <w:tcPr>
            <w:tcW w:type="dxa" w:w="2498"/>
          </w:tcPr>
          <w:p>
            <w:pPr>
              <w:spacing w:after="0" w:line="216" w:lineRule="auto"/>
            </w:pPr>
            <w:r>
              <w:rPr>
                <w:sz w:val="18"/>
              </w:rPr>
              <w:t>[Makbuz no ve tarih]</w:t>
            </w:r>
          </w:p>
        </w:tc>
        <w:tc>
          <w:tcPr>
            <w:tcW w:type="dxa" w:w="2498"/>
          </w:tcPr>
          <w:p>
            <w:pPr>
              <w:spacing w:after="0" w:line="216" w:lineRule="auto"/>
            </w:pPr>
            <w:r>
              <w:rPr>
                <w:sz w:val="18"/>
              </w:rPr>
              <w:t>[....] TL</w:t>
            </w:r>
          </w:p>
        </w:tc>
        <w:tc>
          <w:tcPr>
            <w:tcW w:type="dxa" w:w="2498"/>
          </w:tcPr>
          <w:p>
            <w:pPr>
              <w:spacing w:after="0" w:line="216" w:lineRule="auto"/>
            </w:pPr>
            <w:r>
              <w:rPr>
                <w:sz w:val="18"/>
              </w:rPr>
              <w:t>-</w:t>
            </w:r>
          </w:p>
        </w:tc>
      </w:tr>
      <w:tr>
        <w:tc>
          <w:tcPr>
            <w:tcW w:type="dxa" w:w="2498"/>
          </w:tcPr>
          <w:p>
            <w:pPr>
              <w:spacing w:after="0" w:line="216" w:lineRule="auto"/>
            </w:pPr>
            <w:r>
              <w:rPr>
                <w:sz w:val="18"/>
              </w:rPr>
              <w:t>[Bilirkişi avansı]</w:t>
            </w:r>
          </w:p>
        </w:tc>
        <w:tc>
          <w:tcPr>
            <w:tcW w:type="dxa" w:w="2498"/>
          </w:tcPr>
          <w:p>
            <w:pPr>
              <w:spacing w:after="0" w:line="216" w:lineRule="auto"/>
            </w:pPr>
            <w:r>
              <w:rPr>
                <w:sz w:val="18"/>
              </w:rPr>
              <w:t>[Makbuz no ve tarih]</w:t>
            </w:r>
          </w:p>
        </w:tc>
        <w:tc>
          <w:tcPr>
            <w:tcW w:type="dxa" w:w="2498"/>
          </w:tcPr>
          <w:p>
            <w:pPr>
              <w:spacing w:after="0" w:line="216" w:lineRule="auto"/>
            </w:pPr>
            <w:r>
              <w:rPr>
                <w:sz w:val="18"/>
              </w:rPr>
              <w:t>[....] TL</w:t>
            </w:r>
          </w:p>
        </w:tc>
        <w:tc>
          <w:tcPr>
            <w:tcW w:type="dxa" w:w="2498"/>
          </w:tcPr>
          <w:p>
            <w:pPr>
              <w:spacing w:after="0" w:line="216" w:lineRule="auto"/>
            </w:pPr>
            <w:r>
              <w:rPr>
                <w:sz w:val="18"/>
              </w:rPr>
              <w:t>-</w:t>
            </w:r>
          </w:p>
        </w:tc>
      </w:tr>
      <w:tr>
        <w:tc>
          <w:tcPr>
            <w:tcW w:type="dxa" w:w="2498"/>
          </w:tcPr>
          <w:p>
            <w:pPr>
              <w:spacing w:after="0" w:line="216" w:lineRule="auto"/>
            </w:pPr>
            <w:r>
              <w:rPr>
                <w:sz w:val="18"/>
              </w:rPr>
              <w:t>[Zorunlu teknik belge]</w:t>
            </w:r>
          </w:p>
        </w:tc>
        <w:tc>
          <w:tcPr>
            <w:tcW w:type="dxa" w:w="2498"/>
          </w:tcPr>
          <w:p>
            <w:pPr>
              <w:spacing w:after="0" w:line="216" w:lineRule="auto"/>
            </w:pPr>
            <w:r>
              <w:rPr>
                <w:sz w:val="18"/>
              </w:rPr>
              <w:t>[Fatura no ve tarih]</w:t>
            </w:r>
          </w:p>
        </w:tc>
        <w:tc>
          <w:tcPr>
            <w:tcW w:type="dxa" w:w="2498"/>
          </w:tcPr>
          <w:p>
            <w:pPr>
              <w:spacing w:after="0" w:line="216" w:lineRule="auto"/>
            </w:pPr>
            <w:r>
              <w:rPr>
                <w:sz w:val="18"/>
              </w:rPr>
              <w:t>[....] TL</w:t>
            </w:r>
          </w:p>
        </w:tc>
        <w:tc>
          <w:tcPr>
            <w:tcW w:type="dxa" w:w="2498"/>
          </w:tcPr>
          <w:p>
            <w:pPr>
              <w:spacing w:after="0" w:line="216" w:lineRule="auto"/>
            </w:pPr>
            <w:r>
              <w:rPr>
                <w:sz w:val="18"/>
              </w:rPr>
              <w:t>-</w:t>
            </w:r>
          </w:p>
        </w:tc>
      </w:tr>
      <w:tr>
        <w:tc>
          <w:tcPr>
            <w:tcW w:type="dxa" w:w="2498"/>
          </w:tcPr>
          <w:p>
            <w:pPr>
              <w:spacing w:after="0" w:line="216" w:lineRule="auto"/>
            </w:pPr>
            <w:r>
              <w:rPr>
                <w:sz w:val="18"/>
              </w:rPr>
              <w:t>[Tekrarlanacak keşif]</w:t>
            </w:r>
          </w:p>
        </w:tc>
        <w:tc>
          <w:tcPr>
            <w:tcW w:type="dxa" w:w="2498"/>
          </w:tcPr>
          <w:p>
            <w:pPr>
              <w:spacing w:after="0" w:line="216" w:lineRule="auto"/>
            </w:pPr>
            <w:r>
              <w:rPr>
                <w:sz w:val="18"/>
              </w:rPr>
              <w:t>[Ara karar veya teklif]</w:t>
            </w:r>
          </w:p>
        </w:tc>
        <w:tc>
          <w:tcPr>
            <w:tcW w:type="dxa" w:w="2498"/>
          </w:tcPr>
          <w:p>
            <w:pPr>
              <w:spacing w:after="0" w:line="216" w:lineRule="auto"/>
            </w:pPr>
            <w:r>
              <w:rPr>
                <w:sz w:val="18"/>
              </w:rPr>
              <w:t>-</w:t>
            </w:r>
          </w:p>
        </w:tc>
        <w:tc>
          <w:tcPr>
            <w:tcW w:type="dxa" w:w="2498"/>
          </w:tcPr>
          <w:p>
            <w:pPr>
              <w:spacing w:after="0" w:line="216" w:lineRule="auto"/>
            </w:pPr>
            <w:r>
              <w:rPr>
                <w:sz w:val="18"/>
              </w:rPr>
              <w:t>[....] TL</w:t>
            </w:r>
          </w:p>
        </w:tc>
      </w:tr>
      <w:tr>
        <w:tc>
          <w:tcPr>
            <w:tcW w:type="dxa" w:w="2498"/>
          </w:tcPr>
          <w:p>
            <w:pPr>
              <w:spacing w:after="0" w:line="216" w:lineRule="auto"/>
            </w:pPr>
            <w:r>
              <w:rPr>
                <w:sz w:val="18"/>
              </w:rPr>
              <w:t>[Ek teknik inceleme]</w:t>
            </w:r>
          </w:p>
        </w:tc>
        <w:tc>
          <w:tcPr>
            <w:tcW w:type="dxa" w:w="2498"/>
          </w:tcPr>
          <w:p>
            <w:pPr>
              <w:spacing w:after="0" w:line="216" w:lineRule="auto"/>
            </w:pPr>
            <w:r>
              <w:rPr>
                <w:sz w:val="18"/>
              </w:rPr>
              <w:t>[Hesap dayanağı]</w:t>
            </w:r>
          </w:p>
        </w:tc>
        <w:tc>
          <w:tcPr>
            <w:tcW w:type="dxa" w:w="2498"/>
          </w:tcPr>
          <w:p>
            <w:pPr>
              <w:spacing w:after="0" w:line="216" w:lineRule="auto"/>
            </w:pPr>
            <w:r>
              <w:rPr>
                <w:sz w:val="18"/>
              </w:rPr>
              <w:t>-</w:t>
            </w:r>
          </w:p>
        </w:tc>
        <w:tc>
          <w:tcPr>
            <w:tcW w:type="dxa" w:w="2498"/>
          </w:tcPr>
          <w:p>
            <w:pPr>
              <w:spacing w:after="0" w:line="216" w:lineRule="auto"/>
            </w:pPr>
            <w:r>
              <w:rPr>
                <w:sz w:val="18"/>
              </w:rPr>
              <w:t>[....] TL</w:t>
            </w:r>
          </w:p>
        </w:tc>
      </w:tr>
    </w:tbl>
    <w:p>
      <w:pPr>
        <w:keepNext/>
      </w:pPr>
      <w:r>
        <w:rPr>
          <w:b/>
        </w:rPr>
        <w:t>DELİLLER</w:t>
      </w:r>
    </w:p>
    <w:p>
      <w:r>
        <w:t>Islah dilekçesi ve tebliğ kaydı; keşif ara kararı ve tutanağı; bilirkişi görevlendirme kararı ve raporu; gider avansı makbuzları; faturalar; hesap cetveli; UYAP evrak kayıtları ve ilgili diğer yasal deliller.</w:t>
      </w:r>
    </w:p>
    <w:p>
      <w:pPr>
        <w:keepNext/>
      </w:pPr>
      <w:r>
        <w:rPr>
          <w:b/>
        </w:rPr>
        <w:t>HUKUKİ NEDENLER</w:t>
      </w:r>
    </w:p>
    <w:p>
      <w:r>
        <w:t>6100 sayılı Hukuk Muhakemeleri Kanunu m. 176, 177, 178, 179 ve ilgili diğer hükümler.</w:t>
      </w:r>
    </w:p>
    <w:p>
      <w:pPr>
        <w:keepNext/>
      </w:pPr>
      <w:r>
        <w:rPr>
          <w:b/>
        </w:rPr>
        <w:t>SONUÇ VE İSTEM</w:t>
      </w:r>
    </w:p>
    <w:p>
      <w:r>
        <w:t>Açıklanan nedenlerle; [tarih] tarihli ıslah nedeniyle geçersiz hâle gelen veya tekrarlanması gereken işlemler ile bunlara ait giderlerin TESPİTİNE; ekli cetvel ve belgeler dikkate alınarak gerçekleşmiş ve öngörülebilir gider ve zararlarımızı karşılayacak [toplam] TL’nin HMK m. 178/1 TEMİNATI OLARAK BELİRLENMESİNE; davacıya bu tutarı ara kararın usulüne uygun bildirilmesinden itibaren BİR HAFTA İÇİNDE MAHKEME VEZNESİNE YATIRMASI için süre verilmesine; ödeme belgesinin dosyaya sunulmasına; teminat süresinde yatırılmazsa ISLAHIN YAPILMAMIŞ SAYILMASINA ve yargılamanın ıslah öncesindeki usul durumuna göre sürdürülmesine karar verilmesini saygıyla arz ve talep ederiz. 29/09/2026</w:t>
      </w:r>
    </w:p>
    <w:p>
      <w:pPr>
        <w:spacing w:after="140"/>
        <w:jc w:val="right"/>
      </w:pPr>
      <w:r>
        <w:t>Davalı Vekili</w:t>
        <w:br/>
        <w:t>Av. Halil BAKIRCI</w:t>
        <w:br/>
        <w:t>Mersin Barosu Sicil No 3472</w:t>
        <w:br/>
        <w:t>(E-İMZALIDIR)</w:t>
      </w:r>
    </w:p>
    <w:p>
      <w:pPr>
        <w:keepNext/>
      </w:pPr>
      <w:r>
        <w:rPr>
          <w:b/>
        </w:rPr>
        <w:t>EKLER</w:t>
      </w:r>
    </w:p>
    <w:p>
      <w:pPr>
        <w:pStyle w:val="ListBullet"/>
      </w:pPr>
      <w:r>
        <w:t>Ek-1: Islah dilekçesi ve bildirim kaydı</w:t>
      </w:r>
    </w:p>
    <w:p>
      <w:pPr>
        <w:pStyle w:val="ListBullet"/>
      </w:pPr>
      <w:r>
        <w:t>Ek-2: Keşif ara kararı ve keşif tutanağı</w:t>
      </w:r>
    </w:p>
    <w:p>
      <w:pPr>
        <w:pStyle w:val="ListBullet"/>
      </w:pPr>
      <w:r>
        <w:t>Ek-3: Bilirkişi görevlendirme kararı ve raporu</w:t>
      </w:r>
    </w:p>
    <w:p>
      <w:pPr>
        <w:pStyle w:val="ListBullet"/>
      </w:pPr>
      <w:r>
        <w:t>Ek-4: Gider avansı makbuzları ve faturalar</w:t>
      </w:r>
    </w:p>
    <w:p>
      <w:pPr>
        <w:pStyle w:val="ListBullet"/>
      </w:pPr>
      <w:r>
        <w:t>Ek-5: Ayrıntılı teminat hesap cetveli</w:t>
      </w:r>
    </w:p>
    <w:p>
      <w:pPr>
        <w:pStyle w:val="ListBullet"/>
      </w:pPr>
      <w:r>
        <w:t>Ek-6: Vekâletname örneği [dosyada yoksa]</w:t>
      </w:r>
    </w:p>
    <w:p>
      <w:pPr>
        <w:keepNext/>
      </w:pPr>
      <w:r>
        <w:rPr>
          <w:b/>
        </w:rPr>
        <w:t>DOLDURMA KONTROLÜ SUNULACAK NÜSHADAN ÇIKARIN</w:t>
      </w:r>
    </w:p>
    <w:p>
      <w:pPr>
        <w:pStyle w:val="ListBullet"/>
      </w:pPr>
      <w:r>
        <w:rPr>
          <w:i/>
        </w:rPr>
        <w:t>Mahkeme, esas, taraf ve ıslah evrak bilgilerini gerçek dosyadan yazın.</w:t>
      </w:r>
    </w:p>
    <w:p>
      <w:pPr>
        <w:pStyle w:val="ListBullet"/>
      </w:pPr>
      <w:r>
        <w:rPr>
          <w:i/>
        </w:rPr>
        <w:t>Islah öncesi ve sonrası talep ile etkilenen işlemleri somutlaştırın.</w:t>
      </w:r>
    </w:p>
    <w:p>
      <w:pPr>
        <w:pStyle w:val="ListBullet"/>
      </w:pPr>
      <w:r>
        <w:rPr>
          <w:i/>
        </w:rPr>
        <w:t>Her gideri makbuz, fatura veya ara kararla eşleştirin.</w:t>
      </w:r>
    </w:p>
    <w:p>
      <w:pPr>
        <w:pStyle w:val="ListBullet"/>
      </w:pPr>
      <w:r>
        <w:rPr>
          <w:i/>
        </w:rPr>
        <w:t>Gerçekleşmiş ve öngörülen kalemleri ayrı toplayın.</w:t>
      </w:r>
    </w:p>
    <w:p>
      <w:pPr>
        <w:pStyle w:val="ListBullet"/>
      </w:pPr>
      <w:r>
        <w:rPr>
          <w:i/>
        </w:rPr>
        <w:t>HMK m. 179 uyarınca korunacak delilleri otomatik olarak geçersiz göstermeyin.</w:t>
      </w:r>
    </w:p>
    <w:p>
      <w:pPr>
        <w:pStyle w:val="ListBullet"/>
      </w:pPr>
      <w:r>
        <w:rPr>
          <w:i/>
        </w:rPr>
        <w:t>Köşeli alanları, kullanılmayan satırları ve bu kontrol bölümünü nihai nüshadan çıkarın.</w:t>
      </w:r>
    </w:p>
    <w:sectPr w:rsidR="00FC693F" w:rsidRPr="0006063C" w:rsidSect="00034616">
      <w:pgSz w:w="12240" w:h="15840"/>
      <w:pgMar w:top="922" w:right="1123" w:bottom="835"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35"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