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ÜÇÜNCÜ KIŞININ İSTIHKAK DAVASI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TAKIBIN YAPILDIĞI YER İCRA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 ÜÇÜNCÜ KİŞİ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 ALACAKLI/BORÇLU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Üçüncü kişiye ait hacizli mallar üzerindeki istihkak iddiasının kabulü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i̇İK m.96-99, borçlu borcu için üçüncü kişiye ait mal haczedildiğinde izlenecek istihkak yolunu düzenler. Malın kimin zilyetliğinde haczedildiğine göre ispat karinesi ve davayı açacak taraf değişir.</w:t>
      </w:r>
    </w:p>
    <w:p>
      <w:pPr/>
      <w:r>
        <w:rPr>
          <w:b/>
        </w:rPr>
        <w:t xml:space="preserve">2. </w:t>
      </w:r>
      <w:r>
        <w:t>[İCRA DOSYASI] kapsamında [HACİZ ADRESİ] adresinde [MAL LİSTESİ] haczedildi.</w:t>
      </w:r>
    </w:p>
    <w:p>
      <w:pPr/>
      <w:r>
        <w:rPr>
          <w:b/>
        </w:rPr>
        <w:t xml:space="preserve">3. </w:t>
      </w:r>
      <w:r>
        <w:t>Haczedilen mallar borçluya değil üçüncü kişi [AD/ŞİRKET]’e aittir.</w:t>
      </w:r>
    </w:p>
    <w:p>
      <w:pPr/>
      <w:r>
        <w:rPr>
          <w:b/>
        </w:rPr>
        <w:t xml:space="preserve">4. </w:t>
      </w:r>
      <w:r>
        <w:t>Mülkiyet [FATURA/ÖDEME/SERİ NO/DEMİRBAŞ KAYDI] ile sabittir.</w:t>
      </w:r>
    </w:p>
    <w:p>
      <w:pPr/>
      <w:r>
        <w:rPr>
          <w:b/>
        </w:rPr>
        <w:t xml:space="preserve">5. </w:t>
      </w:r>
      <w:r>
        <w:t>İstihkak iddiası [TARİH] tarihinde tutanağa geçirildi/bildirildi ve dava süresindedir.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İİK m.96: </w:t>
      </w:r>
      <w:r>
        <w:t>Borçlu veya üçüncü kişi haczedilen mal üzerinde mülkiyet/rehin hakkı ileri sürerse istihkak iddiası tutanağa geçirilir; öğrenmeden itibaren yedi günlük süre uygulanır.</w:t>
      </w:r>
    </w:p>
    <w:p>
      <w:pPr>
        <w:ind w:left="312"/>
      </w:pPr>
      <w:r>
        <w:rPr>
          <w:b/>
          <w:color w:val="1E3A8A"/>
        </w:rPr>
        <w:t xml:space="preserve">İİK m.97: </w:t>
      </w:r>
      <w:r>
        <w:t>Mal borçlu elindeyken ileri sürülen üçüncü kişi iddiasında takip ve istihkak davası usulü düzenlenir.</w:t>
      </w:r>
    </w:p>
    <w:p>
      <w:pPr>
        <w:ind w:left="312"/>
      </w:pPr>
      <w:r>
        <w:rPr>
          <w:b/>
          <w:color w:val="1E3A8A"/>
        </w:rPr>
        <w:t xml:space="preserve">İİK m.99: </w:t>
      </w:r>
      <w:r>
        <w:t>Mal üçüncü kişinin elinde haczedilmişse alacaklıya istihkak davası açması için süre verilir.</w:t>
      </w:r>
    </w:p>
    <w:p>
      <w:pPr>
        <w:ind w:left="312"/>
      </w:pPr>
      <w:r>
        <w:rPr>
          <w:b/>
          <w:color w:val="1E3A8A"/>
        </w:rPr>
        <w:t xml:space="preserve">TMK m.985: </w:t>
      </w:r>
      <w:r>
        <w:t>Taşınırın zilyedi onun maliki sayılır; kanuni karineler özel icra kurallarıyla birlikte uygulanır.</w:t>
      </w:r>
    </w:p>
    <w:p>
      <w:pPr>
        <w:pStyle w:val="Heading1"/>
      </w:pPr>
      <w:r>
        <w:t>HUKUKİ NEDENLER</w:t>
      </w:r>
    </w:p>
    <w:p>
      <w:r>
        <w:t>İİK m.96, İİK m.97, İİK m.99, TMK m.985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Haciz tutanağı</w:t>
      </w:r>
    </w:p>
    <w:p>
      <w:pPr/>
      <w:r>
        <w:rPr>
          <w:b/>
        </w:rPr>
        <w:t xml:space="preserve">2. </w:t>
      </w:r>
      <w:r>
        <w:t>Fatura ve banka ödeme kayıtları</w:t>
      </w:r>
    </w:p>
    <w:p>
      <w:pPr/>
      <w:r>
        <w:rPr>
          <w:b/>
        </w:rPr>
        <w:t xml:space="preserve">3. </w:t>
      </w:r>
      <w:r>
        <w:t>Demirbaş/envanter defteri</w:t>
      </w:r>
    </w:p>
    <w:p>
      <w:pPr/>
      <w:r>
        <w:rPr>
          <w:b/>
        </w:rPr>
        <w:t xml:space="preserve">4. </w:t>
      </w:r>
      <w:r>
        <w:t>Kira ve işyeri belgeleri</w:t>
      </w:r>
    </w:p>
    <w:p>
      <w:pPr/>
      <w:r>
        <w:rPr>
          <w:b/>
        </w:rPr>
        <w:t xml:space="preserve">5. </w:t>
      </w:r>
      <w:r>
        <w:t>Tanık ve bilirkişi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İstihkak iddiasının kabulü ve haczin kaldırılması,</w:t>
      </w:r>
    </w:p>
    <w:p>
      <w:pPr>
        <w:ind w:left="283"/>
      </w:pPr>
      <w:r>
        <w:rPr>
          <w:b/>
        </w:rPr>
        <w:t xml:space="preserve">2. </w:t>
      </w:r>
      <w:r>
        <w:t>Dava sonuna kadar satışın durdurulması,</w:t>
      </w:r>
    </w:p>
    <w:p>
      <w:pPr>
        <w:ind w:left="283"/>
      </w:pPr>
      <w:r>
        <w:rPr>
          <w:b/>
        </w:rPr>
        <w:t xml:space="preserve">3. </w:t>
      </w:r>
      <w:r>
        <w:t>Kötü niyet koşulları varsa tazminat,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 ÜÇÜNCÜ KİŞİ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Haciz tutanağı</w:t>
      </w:r>
    </w:p>
    <w:p>
      <w:pPr/>
      <w:r>
        <w:t>2. Fatura ve banka ödeme kayıtları</w:t>
      </w:r>
    </w:p>
    <w:p>
      <w:pPr/>
      <w:r>
        <w:t>3. Demirbaş/envanter defteri</w:t>
      </w:r>
    </w:p>
    <w:p>
      <w:pPr/>
      <w:r>
        <w:t>4. Kira ve işyeri belgeleri</w:t>
      </w:r>
    </w:p>
    <w:p>
      <w:pPr/>
      <w:r>
        <w:t>5. Tanık ve bilirkişi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Takibin yapıldığı yer İcra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Üçüncü kişi haczi öğrendiği tarihten itibaren yedi gün içinde istihkak iddiasını bildirir. İcra mahkemesinin/daire kararının verdiği yedi günlük dava süresi ayrıca kesin olarak izlenir.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Malın mülkiyetini veya sınırlı ayni hakkı gösteren fatura, ödeme, seri numarası, envanter ve teslim belgeleri hazırlanır.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[İCRA DOSYASI] kapsamında [HACİZ ADRESİ] adresinde [MAL LİSTESİ] haczedildi.</w:t>
      </w:r>
    </w:p>
    <w:p>
      <w:pPr/>
      <w:r>
        <w:t>Haczedilen mallar borçluya değil üçüncü kişi □ [AD/ŞİRKET]’e aittir.</w:t>
      </w:r>
    </w:p>
    <w:p>
      <w:pPr/>
      <w:r>
        <w:t>Mülkiyet □ [FATURA/ÖDEME/SERİ NO/DEMİRBAŞ KAYDI] ile sabittir.</w:t>
      </w:r>
    </w:p>
    <w:p>
      <w:pPr/>
      <w:r>
        <w:t>İstihkak iddiası □ [TARİH] tarihinde tutanağa geçirildi/bildirildi ve dava süresindedir.</w:t>
      </w:r>
    </w:p>
    <w:p>
      <w:pPr>
        <w:pStyle w:val="Heading2"/>
      </w:pPr>
      <w:r>
        <w:t>Başvuru öncesi kritik kontroller</w:t>
      </w:r>
    </w:p>
    <w:p>
      <w:pPr/>
      <w:r>
        <w:t>□ Malın haciz sırasında kimin fiilî zilyetliğinde olduğunu doğru belirleyin; m.97 ile m.99 prosedürü farklıdır.</w:t>
      </w:r>
    </w:p>
    <w:p>
      <w:pPr/>
      <w:r>
        <w:t>□ Sonradan düzenlenmiş veya seri numarasız faturayı tek başına bırakmayın.</w:t>
      </w:r>
    </w:p>
    <w:p>
      <w:pPr/>
      <w:r>
        <w:t>□ Yedi günlük iddia ve dava sürelerini ayrı ayrı takip edin.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IIK güncel metni</w:t>
        </w:r>
      </w:hyperlink>
    </w:p>
    <w:p>
      <w:hyperlink r:id="rId12">
        <w:r>
          <w:rPr>
            <w:color w:val="1e3a8a"/>
            <w:u w:val="single"/>
          </w:rPr>
          <w:t>TMK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Eve haciz gelir mi?</w:t>
        </w:r>
      </w:hyperlink>
    </w:p>
    <w:p>
      <w:hyperlink r:id="rId14">
        <w:r>
          <w:rPr>
            <w:color w:val="1e3a8a"/>
            <w:u w:val="single"/>
          </w:rPr>
          <w:t>İcra takibi nasıl başlatılır?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2004.pdf" TargetMode="External"/><Relationship Id="rId12" Type="http://schemas.openxmlformats.org/officeDocument/2006/relationships/hyperlink" Target="https://www.mevzuat.gov.tr/mevzuatmetin/1.5.4721.pdf" TargetMode="External"/><Relationship Id="rId13" Type="http://schemas.openxmlformats.org/officeDocument/2006/relationships/hyperlink" Target="https://halilbakirci.av.tr/eve-haciz-gelir-mi-ev-haczi/" TargetMode="External"/><Relationship Id="rId14" Type="http://schemas.openxmlformats.org/officeDocument/2006/relationships/hyperlink" Target="https://halilbakirci.av.tr/icra-takibi-nasil-baslatilir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Üçüncü Kişinin İstihkak Davası Dilekçesi Örneği</dc:title>
  <dc:subject>istihkak davası dilekçesi</dc:subject>
  <dc:creator>Av. Halil Bakırcı</dc:creator>
  <cp:keywords>istihkak davası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