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[İŞVERENİN ADI / TAM UNVANI]’NA</w:t>
      </w:r>
    </w:p>
    <w:p>
      <w:pPr>
        <w:widowControl/>
      </w:pPr>
      <w:r>
        <w:t>Bildiren işçi: [Ad, soyad, adres]</w:t>
        <w:br/>
        <w:t>Muhatap: [İşveren, adres]</w:t>
        <w:br/>
        <w:t>Konu: TBK m.436 kapsamında hizmet sözleşmesinden doğan hakların uygun süre içinde güvenceye bağlanması talebi.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[Gerçek tarih] tarihli hizmet ilişkisi kapsamında [gerçek görev] işini yürütmekteyim. Sözleşme ve haklarımın ilgili dayanakları Ek [numara] olarak sunulmuştur.</w:t>
      </w:r>
    </w:p>
    <w:p>
      <w:pPr>
        <w:widowControl/>
      </w:pPr>
      <w:r>
        <w:t>2. İşverenin ödeme güçsüzlüğüne ilişkin durum [belgeyle uyumlu gerçek olay] olup dayanak [belge tarihi, kaynağı ve kapsamı] şeklindedir. İlgili kayıt Ek [numara] olarak eklenmiştir. Mevcut ödeme ve işveren açıklaması [gerçek bilgi] olarak belirtilmiştir.</w:t>
      </w:r>
    </w:p>
    <w:p>
      <w:pPr>
        <w:widowControl/>
      </w:pPr>
      <w:r>
        <w:t>3. Güvenceye bağlanmasını istediğim sözleşme hakları ek çizelgede kalem, dönem, dayanak ve mevcut ödeme bilgisiyle ayrı gösterilmiştir. Mevcut ödeme alacağı ile güvence kapsamındaki diğer sözleşme hakları ayrılmış; karşılanmış tutarlar ödenmemiş borç olarak yeniden eklenmemiştir.</w:t>
      </w:r>
    </w:p>
    <w:p>
      <w:pPr>
        <w:widowControl/>
      </w:pPr>
      <w:r>
        <w:t>4. TBK m.436, ödeme güçsüzlüğünde sözleşmeden doğan haklar uygun süre içinde güvenceye bağlanmazsa işçinin derhâl fesih hakkını düzenler. Güvence için talep ettiğim süre [dosyaya göre belirlenen süre / son tarih] olup uygunluk gerekçesi [gerçek koşullar] şeklindedir. Bu bildirimde sözleşmeyi feshetmiyorum; güvence sağlanmasını istiyorum.</w:t>
      </w:r>
    </w:p>
    <w:p>
      <w:pPr>
        <w:keepNext/>
        <w:widowControl/>
      </w:pPr>
      <w:r>
        <w:rPr>
          <w:b/>
        </w:rPr>
        <w:t>Sonuç ve talepler</w:t>
      </w:r>
    </w:p>
    <w:p>
      <w:pPr>
        <w:widowControl/>
      </w:pPr>
      <w:r>
        <w:t>Ek çizelgedeki sözleşme haklarının belirtilen uygun süre içinde güvenceye bağlanmasını; sağlanan güvencenin kapsam, tutar, süre ve ilgili hak bağlantısını gösteren tam belgelerin [gerçek cevap adresi / kanal] üzerinden iletilmesini talep ederim. Sunulan düzenleme gerçek kapsamı ve geçerlilik koşullarıyla incelenecektir.</w:t>
      </w:r>
    </w:p>
    <w:p>
      <w:pPr>
        <w:widowControl/>
      </w:pPr>
      <w:r>
        <w:t>Ekler: [Sözleşme]; [ödeme güçsüzlüğü kayıtları]; [hak ve ödeme çizelgesi]; [mevcut işveren açıklamaları].</w:t>
        <w:br/>
        <w:t>Tarih: [Gerçek tarih]</w:t>
        <w:br/>
        <w:t>Ad, soyad / imza: [İşçi]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Hak ve güvence inceleme çizelgesi</w:t>
      </w:r>
    </w:p>
    <w:p>
      <w:pPr>
        <w:widowControl/>
      </w:pPr>
      <w:r>
        <w:t>Ödeme güçsüzlüğü, sözleşme hakları ve uygun süre gerçek kayıtlarla gösterilir. Güvence talebi fesih beyanı değildir.</w:t>
      </w:r>
    </w:p>
    <w:p>
      <w:pPr>
        <w:pStyle w:val="Heading1"/>
        <w:widowControl/>
      </w:pPr>
      <w:r>
        <w:t>Ek A Güçsüzlük ve süre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/ 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Ek no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kapsam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Hizmet ilişkisi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 / başlangıç]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[İşveren / görev]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Güçsüzlük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belge]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[Olay bağlantısı]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Uygun süre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[Süre / son tarih]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gerekçe]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Hak ve güvence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Hak kalemi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Kapsam / tutar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/ dönem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Mevcut durum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Ödeme alacağı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hesap]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 / kayıt]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[Ödenen / kalan]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Diğer hak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kapsam]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[Hüküm / dönem]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[Güvence ihtiyacı]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Sunulan güvence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[Kapsam / süre]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[Tam belge]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[İlgili hak bağlantısı]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Eksik bölüm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eksik]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[Belge]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[Açıklama talebi]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Gönderim ve cevap</w:t>
      </w:r>
    </w:p>
    <w:p>
      <w:pPr>
        <w:widowControl/>
      </w:pPr>
      <w:r>
        <w:t>Gönderim [tarih / kanal]. Ulaşma [gerçek kayıt]. Cevap [tarih / belge]. Yeni ödeme [tarih / tutar]. Güvence belgesi [kaynak / doğrulama]. İlk ve güncel çizelge ayrı korunur.</w:t>
      </w:r>
    </w:p>
    <w:p>
      <w:pPr>
        <w:pStyle w:val="Heading1"/>
        <w:widowControl/>
      </w:pPr>
      <w:r>
        <w:t>Sonraki değerlendirme</w:t>
      </w:r>
    </w:p>
    <w:p>
      <w:pPr>
        <w:widowControl/>
      </w:pPr>
      <w:r>
        <w:t>Uygun süre dosyaya göre belirlenir; kanuni sabit gün sayısı değildir. Ödeme vaadi, güvence ve fesih farklıdır. Sürenin bitmesi kendiliğinden fesih sonucu oluşturmaz. Kapsam ve güvence geçerliliği birlikte incelenir.</w:t>
      </w:r>
    </w:p>
    <w:p>
      <w:pPr>
        <w:pStyle w:val="Heading1"/>
        <w:widowControl/>
      </w:pPr>
      <w:r>
        <w:t>Hukuki dayanak</w:t>
      </w:r>
    </w:p>
    <w:p>
      <w:pPr>
        <w:widowControl/>
      </w:pPr>
      <w:r>
        <w:t>6098 sayılı Türk Borçlar Kanunu m.436; ilgili m.393, 435 ve 437. İşverene sözleşme hakları için güvence talebi.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İşverenin ödeme güçsüzlüğünde güvence talep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