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İŞYERI RUHSATI RET KARARINA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RET KARARINI VEREN BELEDIYE/YETKILI IDARE; IPTAL DAVASINDA GÖREVLI IDARE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2026/236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İşyeri Ruhsatı Ret Kararına İtiraz Dilekçesi kapsamında ret kararının kaldırılması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12.02.2026 — gerçek belge tarihini yazınız</w:t>
            </w:r>
          </w:p>
        </w:tc>
      </w:tr>
    </w:tbl>
    <w:p>
      <w:pPr>
        <w:pStyle w:val="Heading1"/>
      </w:pPr>
      <w:r>
        <w:t>AÇIKLAMALAR</w:t>
      </w:r>
    </w:p>
    <w:p>
      <w:pPr>
        <w:keepLines w:val="0"/>
        <w:ind w:firstLine="340"/>
      </w:pPr>
      <w:r>
        <w:rPr>
          <w:b/>
          <w:color w:val="1E3A8A"/>
        </w:rPr>
        <w:t xml:space="preserve">1. </w:t>
      </w:r>
      <w:r>
        <w:t>Örnek olayda Mevzuatta aranmayan bir belge gerekçe gösterilerek reddedilen ruhsat başvurusunun yeniden değerlendirilmesi istenir. Başvurucu, uyuşmazlığı 12.02.2026 tarihinde öğrenmiş; ilk yazılı başvurusunu 21.03.2026 tarihinde yapmıştır. Bu tarihler yalnız örnek olup gerçek dosyadaki tebliğ, öğrenme veya işlem tarihleriyle değiştirilmelidir.</w:t>
      </w:r>
    </w:p>
    <w:p>
      <w:pPr>
        <w:keepLines w:val="0"/>
        <w:ind w:firstLine="340"/>
      </w:pPr>
      <w:r>
        <w:rPr>
          <w:b/>
          <w:color w:val="1E3A8A"/>
        </w:rPr>
        <w:t xml:space="preserve">2. </w:t>
      </w:r>
      <w:r>
        <w:t>İlk başvuru tarihi tarih, yer, kişi ve belge bağlantısıyla açıklanır. İlk başvuru tarihi bakımından olayın başlangıcı, tarafların sıfatı ve işlem tarihi birlikte gösterilmiştir. Bu olgu Başvuru dosyası ile doğrulanmakta; belge Ek-1 olarak sunulmaktadır.</w:t>
      </w:r>
    </w:p>
    <w:p>
      <w:pPr>
        <w:keepLines w:val="0"/>
        <w:ind w:firstLine="340"/>
      </w:pPr>
      <w:r>
        <w:rPr>
          <w:b/>
          <w:color w:val="1E3A8A"/>
        </w:rPr>
        <w:t xml:space="preserve">3. </w:t>
      </w:r>
      <w:r>
        <w:t>Ret kararının tarih ve sayısı tarih, yer, kişi ve belge bağlantısıyla açıklanır. Ret kararının tarih ve sayısı yönünden yalnız sonuç belirtilmemiş, işlemin nasıl gerçekleştiği ve başvurucunun hangi hakkının etkilendiği açıklanmıştır. Ret yazısı, iddiayı doğrulayan temel kayıt olarak Ek-2 numarasıyla dosyaya eklenmiştir.</w:t>
      </w:r>
    </w:p>
    <w:p>
      <w:pPr>
        <w:keepLines w:val="0"/>
        <w:ind w:firstLine="340"/>
      </w:pPr>
      <w:r>
        <w:rPr>
          <w:b/>
          <w:color w:val="1E3A8A"/>
        </w:rPr>
        <w:t xml:space="preserve">4. </w:t>
      </w:r>
      <w:r>
        <w:t>Tebliğ tarihi tarih, yer, kişi ve belge bağlantısıyla açıklanır. Tebliğ tarihi somutlaştırılırken tarih sırası korunmuş ve karşı tarafın ya da kurumun işlemi açıkça gösterilmiştir. Ruhsat belgeleri üzerinde yer alan tarih ve kayıt numarası dilekçedeki anlatımla uyumludur.</w:t>
      </w:r>
    </w:p>
    <w:p>
      <w:pPr>
        <w:keepLines w:val="0"/>
        <w:ind w:firstLine="340"/>
      </w:pPr>
      <w:r>
        <w:rPr>
          <w:b/>
          <w:color w:val="1E3A8A"/>
        </w:rPr>
        <w:t xml:space="preserve">5. </w:t>
      </w:r>
      <w:r>
        <w:t>Ret gerekçesi tarih, yer, kişi ve belge bağlantısıyla açıklanır. Ret gerekçesi başlığı altında başvurunun hukuki yararı açıklanmıştır. İstenen sonucun neden gerekli olduğu, Teknik raporlar ile talep arasındaki bağlantı kurularak gösterilmiştir.</w:t>
      </w:r>
    </w:p>
    <w:p>
      <w:pPr>
        <w:keepLines w:val="0"/>
        <w:ind w:firstLine="340"/>
      </w:pPr>
      <w:r>
        <w:rPr>
          <w:b/>
          <w:color w:val="1E3A8A"/>
        </w:rPr>
        <w:t xml:space="preserve">6. </w:t>
      </w:r>
      <w:r>
        <w:t>Şartların nasıl sağlandığı tarih, yer, kişi ve belge bağlantısıyla açıklanır. Şartların nasıl sağlandığı konusunda örnek olayın özel koşulları belirtilmiş; varsayıma dayalı ifade kullanılmamıştır. Emsal kurum yazıları varsa mevcut değilse belgenin hangi kurumdan ve hangi dönem için getirtilmesi istendiği ayrıca yazılmalıdır.</w:t>
      </w:r>
    </w:p>
    <w:p>
      <w:pPr>
        <w:pStyle w:val="Heading1"/>
      </w:pPr>
      <w:r>
        <w:t>HUKUKİ DEĞERLENDİRME</w:t>
      </w:r>
    </w:p>
    <w:p>
      <w:r>
        <w:t>Başvurunun hukuki dayanağı 2577 sayılı Kanun m.7, 11; 3572 sayılı Kanun ve ilgili yönetmelik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2577 sayılı Kanun m.7, 11</w:t>
      </w:r>
    </w:p>
    <w:p>
      <w:r>
        <w:t>2577 sayılı Kanun m.7, 11 hükümleri başvurunun maddi ve usul şartlarını belirler. Güncel resmî metin, tebliğ ve işlem tarihinde birlikte değerlendirilir.</w:t>
      </w:r>
    </w:p>
    <w:p>
      <w:pPr>
        <w:pStyle w:val="Heading2"/>
      </w:pPr>
      <w:r>
        <w:t>3572 sayılı Kanun ve ilgili yönetmelik</w:t>
      </w:r>
    </w:p>
    <w:p>
      <w:r>
        <w:t>3572 sayılı Kanun ve ilgili yönetmelik hükümleri başvurunun maddi ve usul şartlarını belirler. Güncel resmî metin, tebliğ ve işlem tarihinde birlikte değerlendirilir.</w:t>
      </w:r>
    </w:p>
    <w:p>
      <w:pPr>
        <w:pStyle w:val="Heading1"/>
      </w:pPr>
      <w:r>
        <w:t>DELİLLER</w:t>
      </w:r>
    </w:p>
    <w:p>
      <w:r>
        <w:t>1. Ek-1: Başvuru dosyası — ilgili olay paragrafını doğrulayan tarihli ve okunaklı kayıt.</w:t>
      </w:r>
    </w:p>
    <w:p>
      <w:r>
        <w:t>2. Ek-2: Ret yazısı — ilgili olay paragrafını doğrulayan tarihli ve okunaklı kayıt.</w:t>
      </w:r>
    </w:p>
    <w:p>
      <w:r>
        <w:t>3. Ek-3: Ruhsat belgeleri — ilgili olay paragrafını doğrulayan tarihli ve okunaklı kayıt.</w:t>
      </w:r>
    </w:p>
    <w:p>
      <w:r>
        <w:t>4. Ek-4: Teknik raporlar — ilgili olay paragrafını doğrulayan tarihli ve okunaklı kayıt.</w:t>
      </w:r>
    </w:p>
    <w:p>
      <w:r>
        <w:t>5. Ek-5: Emsal kurum yazıları varsa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2577 sayılı Kanun m.7, 11; 3572 sayılı Kanun ve ilgili yönetmelik ve somut olaya uygulanacak diğer mevzuat.</w:t>
      </w:r>
    </w:p>
    <w:p>
      <w:pPr>
        <w:pStyle w:val="Heading1"/>
      </w:pPr>
      <w:r>
        <w:t>SONUÇ VE İSTEM</w:t>
      </w:r>
    </w:p>
    <w:p>
      <w:pPr>
        <w:keepNext/>
      </w:pPr>
      <w:r>
        <w:t>Yukarıda açıklanan ve resen dikkate alınacak nedenlerle;</w:t>
      </w:r>
    </w:p>
    <w:p>
      <w:r>
        <w:t>1. Ret kararının kaldırılması.</w:t>
      </w:r>
    </w:p>
    <w:p>
      <w:r>
        <w:t>2. Başvurunun mevzuata göre yeniden incelenmesi.</w:t>
      </w:r>
    </w:p>
    <w:p>
      <w:r>
        <w:t>3. Eksiklik varsa açıkça bildirilmesi.</w:t>
      </w:r>
    </w:p>
    <w:p>
      <w:r>
        <w:t>4. Ruhsatın düzenlenmesi.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21.03.2026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Başvuru dosyası</w:t>
      </w:r>
    </w:p>
    <w:p>
      <w:r>
        <w:t>2. Ret yazısı</w:t>
      </w:r>
    </w:p>
    <w:p>
      <w:r>
        <w:t>3. Ruhsat belgeleri</w:t>
      </w:r>
    </w:p>
    <w:p>
      <w:r>
        <w:t>4. Teknik raporlar</w:t>
      </w:r>
    </w:p>
    <w:p>
      <w:r>
        <w:t>5. Emsal kurum yazıları varsa</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Ret kararını veren belediye/yetkili idare; iptal davasında görevli idare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Üst/idari başvuru özel süre içinde; iptal davası kural olarak tebliğden itibaren 60 gün.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Ret gerekçesi, eksik belge ve mevzuat şartları madde madde karşılaştırılır.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12.02.2026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Başvuru dosyası</w:t>
            </w:r>
          </w:p>
        </w:tc>
      </w:tr>
      <w:tr>
        <w:tc>
          <w:tcPr>
            <w:tcW w:type="dxa" w:w="3457"/>
            <w:tcMar>
              <w:top w:w="110" w:type="dxa"/>
              <w:start w:w="120" w:type="dxa"/>
              <w:bottom w:w="110" w:type="dxa"/>
              <w:end w:w="120" w:type="dxa"/>
            </w:tcMar>
          </w:tcPr>
          <w:p>
            <w:r>
              <w:t>21.03.2026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Ret yazısı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Ruhsat belgeleri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İlk başvuru tarihi</w:t>
            </w:r>
          </w:p>
        </w:tc>
        <w:tc>
          <w:tcPr>
            <w:tcW w:type="dxa" w:w="3457"/>
            <w:tcMar>
              <w:top w:w="110" w:type="dxa"/>
              <w:start w:w="120" w:type="dxa"/>
              <w:bottom w:w="110" w:type="dxa"/>
              <w:end w:w="120" w:type="dxa"/>
            </w:tcMar>
          </w:tcPr>
          <w:p>
            <w:r>
              <w:t>Başvuru dosyası</w:t>
            </w:r>
          </w:p>
        </w:tc>
        <w:tc>
          <w:tcPr>
            <w:tcW w:type="dxa" w:w="3457"/>
            <w:tcMar>
              <w:top w:w="110" w:type="dxa"/>
              <w:start w:w="120" w:type="dxa"/>
              <w:bottom w:w="110" w:type="dxa"/>
              <w:end w:w="120" w:type="dxa"/>
            </w:tcMar>
          </w:tcPr>
          <w:p>
            <w:r>
              <w:t>Ret kararının kaldırılması</w:t>
            </w:r>
          </w:p>
        </w:tc>
      </w:tr>
      <w:tr>
        <w:tc>
          <w:tcPr>
            <w:tcW w:type="dxa" w:w="3457"/>
            <w:tcMar>
              <w:top w:w="110" w:type="dxa"/>
              <w:start w:w="120" w:type="dxa"/>
              <w:bottom w:w="110" w:type="dxa"/>
              <w:end w:w="120" w:type="dxa"/>
            </w:tcMar>
          </w:tcPr>
          <w:p>
            <w:r>
              <w:t>Ret kararının tarih ve sayısı</w:t>
            </w:r>
          </w:p>
        </w:tc>
        <w:tc>
          <w:tcPr>
            <w:tcW w:type="dxa" w:w="3457"/>
            <w:tcMar>
              <w:top w:w="110" w:type="dxa"/>
              <w:start w:w="120" w:type="dxa"/>
              <w:bottom w:w="110" w:type="dxa"/>
              <w:end w:w="120" w:type="dxa"/>
            </w:tcMar>
          </w:tcPr>
          <w:p>
            <w:r>
              <w:t>Ret yazısı</w:t>
            </w:r>
          </w:p>
        </w:tc>
        <w:tc>
          <w:tcPr>
            <w:tcW w:type="dxa" w:w="3457"/>
            <w:tcMar>
              <w:top w:w="110" w:type="dxa"/>
              <w:start w:w="120" w:type="dxa"/>
              <w:bottom w:w="110" w:type="dxa"/>
              <w:end w:w="120" w:type="dxa"/>
            </w:tcMar>
          </w:tcPr>
          <w:p>
            <w:r>
              <w:t>Başvurunun mevzuata göre yeniden incelenmesi</w:t>
            </w:r>
          </w:p>
        </w:tc>
      </w:tr>
      <w:tr>
        <w:tc>
          <w:tcPr>
            <w:tcW w:type="dxa" w:w="3457"/>
            <w:tcMar>
              <w:top w:w="110" w:type="dxa"/>
              <w:start w:w="120" w:type="dxa"/>
              <w:bottom w:w="110" w:type="dxa"/>
              <w:end w:w="120" w:type="dxa"/>
            </w:tcMar>
          </w:tcPr>
          <w:p>
            <w:r>
              <w:t>Tebliğ tarihi</w:t>
            </w:r>
          </w:p>
        </w:tc>
        <w:tc>
          <w:tcPr>
            <w:tcW w:type="dxa" w:w="3457"/>
            <w:tcMar>
              <w:top w:w="110" w:type="dxa"/>
              <w:start w:w="120" w:type="dxa"/>
              <w:bottom w:w="110" w:type="dxa"/>
              <w:end w:w="120" w:type="dxa"/>
            </w:tcMar>
          </w:tcPr>
          <w:p>
            <w:r>
              <w:t>Ruhsat belgeleri</w:t>
            </w:r>
          </w:p>
        </w:tc>
        <w:tc>
          <w:tcPr>
            <w:tcW w:type="dxa" w:w="3457"/>
            <w:tcMar>
              <w:top w:w="110" w:type="dxa"/>
              <w:start w:w="120" w:type="dxa"/>
              <w:bottom w:w="110" w:type="dxa"/>
              <w:end w:w="120" w:type="dxa"/>
            </w:tcMar>
          </w:tcPr>
          <w:p>
            <w:r>
              <w:t>Eksiklik varsa açıkça bildirilmesi</w:t>
            </w:r>
          </w:p>
        </w:tc>
      </w:tr>
      <w:tr>
        <w:tc>
          <w:tcPr>
            <w:tcW w:type="dxa" w:w="3457"/>
            <w:tcMar>
              <w:top w:w="110" w:type="dxa"/>
              <w:start w:w="120" w:type="dxa"/>
              <w:bottom w:w="110" w:type="dxa"/>
              <w:end w:w="120" w:type="dxa"/>
            </w:tcMar>
          </w:tcPr>
          <w:p>
            <w:r>
              <w:t>Ret gerekçesi</w:t>
            </w:r>
          </w:p>
        </w:tc>
        <w:tc>
          <w:tcPr>
            <w:tcW w:type="dxa" w:w="3457"/>
            <w:tcMar>
              <w:top w:w="110" w:type="dxa"/>
              <w:start w:w="120" w:type="dxa"/>
              <w:bottom w:w="110" w:type="dxa"/>
              <w:end w:w="120" w:type="dxa"/>
            </w:tcMar>
          </w:tcPr>
          <w:p>
            <w:r>
              <w:t>Teknik raporlar</w:t>
            </w:r>
          </w:p>
        </w:tc>
        <w:tc>
          <w:tcPr>
            <w:tcW w:type="dxa" w:w="3457"/>
            <w:tcMar>
              <w:top w:w="110" w:type="dxa"/>
              <w:start w:w="120" w:type="dxa"/>
              <w:bottom w:w="110" w:type="dxa"/>
              <w:end w:w="120" w:type="dxa"/>
            </w:tcMar>
          </w:tcPr>
          <w:p>
            <w:r>
              <w:t>Ruhsatın düzenlenmesi</w:t>
            </w:r>
          </w:p>
        </w:tc>
      </w:tr>
      <w:tr>
        <w:tc>
          <w:tcPr>
            <w:tcW w:type="dxa" w:w="3457"/>
            <w:tcMar>
              <w:top w:w="110" w:type="dxa"/>
              <w:start w:w="120" w:type="dxa"/>
              <w:bottom w:w="110" w:type="dxa"/>
              <w:end w:w="120" w:type="dxa"/>
            </w:tcMar>
          </w:tcPr>
          <w:p>
            <w:r>
              <w:t>Şartların nasıl sağlandığı</w:t>
            </w:r>
          </w:p>
        </w:tc>
        <w:tc>
          <w:tcPr>
            <w:tcW w:type="dxa" w:w="3457"/>
            <w:tcMar>
              <w:top w:w="110" w:type="dxa"/>
              <w:start w:w="120" w:type="dxa"/>
              <w:bottom w:w="110" w:type="dxa"/>
              <w:end w:w="120" w:type="dxa"/>
            </w:tcMar>
          </w:tcPr>
          <w:p>
            <w:r>
              <w:t>Emsal kurum yazıları varsa</w:t>
            </w:r>
          </w:p>
        </w:tc>
        <w:tc>
          <w:tcPr>
            <w:tcW w:type="dxa" w:w="3457"/>
            <w:tcMar>
              <w:top w:w="110" w:type="dxa"/>
              <w:start w:w="120" w:type="dxa"/>
              <w:bottom w:w="110" w:type="dxa"/>
              <w:end w:w="120" w:type="dxa"/>
            </w:tcMar>
          </w:tcPr>
          <w:p>
            <w:r>
              <w:t>Ret kararının kaldırılması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Üst/idari başvuru özel süre içinde; iptal davası kural olarak tebliğden itibaren 60 gün.</w:t>
      </w:r>
    </w:p>
    <w:p>
      <w:r>
        <w:t>• Görev/yetki riski: Ret kararını veren belediye/yetkili idare; iptal davasında görevli idare mahkemesi</w:t>
      </w:r>
    </w:p>
    <w:p>
      <w:r>
        <w:t>• Ön koşul riski: Ret gerekçesi, eksik belge ve mevzuat şartları madde madde karşılaştırılır.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İşyeri Ruhsatı Ret Kararına İtiraz Dilekçesi Örneği 2026 | Word İndir</dc:title>
  <dc:subject>işyeri ruhsatı reddine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