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KAMBIYO SENETLERINE ÖZGÜ TAKIPTE İMZAYA İTIRAZ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TAKIBIN YAPILDIĞI YER İCRA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BORÇLU/İTİRAZ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ALACAKLI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Kambiyo senedindeki imzaya itiraz ile takibin durdurulması ve iptali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i̇İK m.168/4 ve 170 uyarınca kambiyo senedindeki imza borçluya ait değilse ödeme emrinin tebliğinden itibaren beş gün içinde icra hukuk mahkemesine başvurulur. Genel ifadeli borç itirazı imza inkârının yerini tutmaz.</w:t>
      </w:r>
    </w:p>
    <w:p>
      <w:pPr/>
      <w:r>
        <w:rPr>
          <w:b/>
        </w:rPr>
        <w:t xml:space="preserve">2. </w:t>
      </w:r>
      <w:r>
        <w:t>[İCRA DAİRESİ/DOSYA] ile [SENET TÜRÜ, TARİH, BEDEL] dayanak gösterilerek takip başlatıldı.</w:t>
      </w:r>
    </w:p>
    <w:p>
      <w:pPr/>
      <w:r>
        <w:rPr>
          <w:b/>
        </w:rPr>
        <w:t xml:space="preserve">3. </w:t>
      </w:r>
      <w:r>
        <w:t>Ödeme emri [TEBLİĞ TARİHİ] tarihinde tebliğ edildi; beş günlük başvuru süresi dolmamıştır.</w:t>
      </w:r>
    </w:p>
    <w:p>
      <w:pPr/>
      <w:r>
        <w:rPr>
          <w:b/>
        </w:rPr>
        <w:t xml:space="preserve">4. </w:t>
      </w:r>
      <w:r>
        <w:t>Takip dayanağı senette borçlu adına bulunan imza borçluya ait değildir.</w:t>
      </w:r>
    </w:p>
    <w:p>
      <w:pPr/>
      <w:r>
        <w:rPr>
          <w:b/>
        </w:rPr>
        <w:t xml:space="preserve">5. </w:t>
      </w:r>
      <w:r>
        <w:t>Mukayese imzaları [BANKA/NOTER/RESMÎ BELGE] kayıtlarında bulunmaktadır.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İİK m.168/4: </w:t>
      </w:r>
      <w:r>
        <w:t>Borçlu, kambiyo senedindeki imzaya ilişkin itirazını ödeme emrinin tebliğinden itibaren beş gün içinde icra mahkemesine bildirir.</w:t>
      </w:r>
    </w:p>
    <w:p>
      <w:pPr>
        <w:ind w:left="312"/>
      </w:pPr>
      <w:r>
        <w:rPr>
          <w:b/>
          <w:color w:val="1E3A8A"/>
        </w:rPr>
        <w:t xml:space="preserve">İİK m.170: </w:t>
      </w:r>
      <w:r>
        <w:t>İmzaya itirazın incelenmesi, bilirkişi incelemesi ve takibin geçici durdurulması koşulları düzenlenir.</w:t>
      </w:r>
    </w:p>
    <w:p>
      <w:pPr>
        <w:ind w:left="312"/>
      </w:pPr>
      <w:r>
        <w:rPr>
          <w:b/>
          <w:color w:val="1E3A8A"/>
        </w:rPr>
        <w:t xml:space="preserve">HMK m.209: </w:t>
      </w:r>
      <w:r>
        <w:t>Adi senetteki yazı veya imza inkâr edildiğinde senet hakkında karar verilinceye kadar senet işleme esas alınamaz; kambiyo takibinde İİK’nın özel hükümleri uygulanır.</w:t>
      </w:r>
    </w:p>
    <w:p>
      <w:pPr>
        <w:pStyle w:val="Heading1"/>
      </w:pPr>
      <w:r>
        <w:t>HUKUKİ NEDENLER</w:t>
      </w:r>
    </w:p>
    <w:p>
      <w:r>
        <w:t>İİK m.168/4, İİK m.170, HMK m.209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Ödeme emri ve tebliğ mazbatası</w:t>
      </w:r>
    </w:p>
    <w:p>
      <w:pPr/>
      <w:r>
        <w:rPr>
          <w:b/>
        </w:rPr>
        <w:t xml:space="preserve">2. </w:t>
      </w:r>
      <w:r>
        <w:t>Takip dayanağı senet aslı</w:t>
      </w:r>
    </w:p>
    <w:p>
      <w:pPr/>
      <w:r>
        <w:rPr>
          <w:b/>
        </w:rPr>
        <w:t xml:space="preserve">3. </w:t>
      </w:r>
      <w:r>
        <w:t>Resmî mukayese imzaları</w:t>
      </w:r>
    </w:p>
    <w:p>
      <w:pPr/>
      <w:r>
        <w:rPr>
          <w:b/>
        </w:rPr>
        <w:t xml:space="preserve">4. </w:t>
      </w:r>
      <w:r>
        <w:t>İmza incelemesi ve bilirkişi</w:t>
      </w:r>
    </w:p>
    <w:p>
      <w:pPr/>
      <w:r>
        <w:rPr>
          <w:b/>
        </w:rPr>
        <w:t xml:space="preserve">5. </w:t>
      </w:r>
      <w:r>
        <w:t>İcra dosyası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İmza itirazının kabulüyle takibin durdurulması ve iptali,</w:t>
      </w:r>
    </w:p>
    <w:p>
      <w:pPr>
        <w:ind w:left="283"/>
      </w:pPr>
      <w:r>
        <w:rPr>
          <w:b/>
        </w:rPr>
        <w:t xml:space="preserve">2. </w:t>
      </w:r>
      <w:r>
        <w:t>İnceleme sonuna kadar takibin geçici olarak durdurulması,</w:t>
      </w:r>
    </w:p>
    <w:p>
      <w:pPr>
        <w:ind w:left="283"/>
      </w:pPr>
      <w:r>
        <w:rPr>
          <w:b/>
        </w:rPr>
        <w:t xml:space="preserve">3. </w:t>
      </w:r>
      <w:r>
        <w:t>Alacaklı aleyhine kanuni tazminat ve giderlere hükmedilmesi koşullarının değerlendirilmesi,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BORÇLU/İTİRAZ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Ödeme emri ve tebliğ mazbatası</w:t>
      </w:r>
    </w:p>
    <w:p>
      <w:pPr/>
      <w:r>
        <w:t>2. Takip dayanağı senet aslı</w:t>
      </w:r>
    </w:p>
    <w:p>
      <w:pPr/>
      <w:r>
        <w:t>3. Resmî mukayese imzaları</w:t>
      </w:r>
    </w:p>
    <w:p>
      <w:pPr/>
      <w:r>
        <w:t>4. İmza incelemesi ve bilirkişi</w:t>
      </w:r>
    </w:p>
    <w:p>
      <w:pPr/>
      <w:r>
        <w:t>5. İcra dosyası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Takibin yapıldığı yer İcra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Ödeme emrinin tebliğinden itibaren beş gündür.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İtiraz açıkça ve ayrıca “senetteki imza bana ait değildir” biçiminde ileri sürülür. Başvuru takibi kendiliğinden durdurmaz; tedbir talebi ayrıca kurulur.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[İCRA DAİRESİ/DOSYA] ile [SENET TÜRÜ, TARİH, BEDEL] dayanak gösterilerek takip başlatıldı.</w:t>
      </w:r>
    </w:p>
    <w:p>
      <w:pPr/>
      <w:r>
        <w:t>Ödeme emri □ [TEBLİĞ TARİHİ] tarihinde tebliğ edildi; beş günlük başvuru süresi dolmamıştır.</w:t>
      </w:r>
    </w:p>
    <w:p>
      <w:pPr/>
      <w:r>
        <w:t>Takip dayanağı senette borçlu adına bulunan imza borçluya ait değildir.</w:t>
      </w:r>
    </w:p>
    <w:p>
      <w:pPr/>
      <w:r>
        <w:t>Mukayese imzaları □ [BANKA/NOTER/RESMÎ BELGE] kayıtlarında bulunmaktadır.</w:t>
      </w:r>
    </w:p>
    <w:p>
      <w:pPr>
        <w:pStyle w:val="Heading2"/>
      </w:pPr>
      <w:r>
        <w:t>Başvuru öncesi kritik kontroller</w:t>
      </w:r>
    </w:p>
    <w:p>
      <w:pPr/>
      <w:r>
        <w:t>□ Beş günlük süre ödeme emrinin tebliğiyle başlar; UYAP ekran tarihi yerine tebliğ belgesini kontrol edin.</w:t>
      </w:r>
    </w:p>
    <w:p>
      <w:pPr/>
      <w:r>
        <w:t>□ İmza inkârını açık ve kayıtsız yazın.</w:t>
      </w:r>
    </w:p>
    <w:p>
      <w:pPr/>
      <w:r>
        <w:t>□ Senet aslının icra kasasında bulunup bulunmadığını ve mukayese imzalarını belirtin.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IIK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Senet icraya verilirse ne olur?</w:t>
        </w:r>
      </w:hyperlink>
    </w:p>
    <w:p>
      <w:hyperlink r:id="rId14">
        <w:r>
          <w:rPr>
            <w:color w:val="1e3a8a"/>
            <w:u w:val="single"/>
          </w:rPr>
          <w:t>Senet nasıl doldurulur?</w:t>
        </w:r>
      </w:hyperlink>
    </w:p>
    <w:p>
      <w:hyperlink r:id="rId15">
        <w:r>
          <w:rPr>
            <w:color w:val="1e3a8a"/>
            <w:u w:val="single"/>
          </w:rPr>
          <w:t>İcra takibine itiraz süresi</w:t>
        </w:r>
      </w:hyperlink>
    </w:p>
    <w:p>
      <w:hyperlink r:id="rId16">
        <w:r>
          <w:rPr>
            <w:color w:val="1e3a8a"/>
            <w:u w:val="single"/>
          </w:rPr>
          <w:t>UYAP Vatandaş Portalı dosya sorgulama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2004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halilbakirci.av.tr/senet-icraya-verilirse-ne-olur/" TargetMode="External"/><Relationship Id="rId14" Type="http://schemas.openxmlformats.org/officeDocument/2006/relationships/hyperlink" Target="https://halilbakirci.av.tr/senet-nasil-doldurulur/" TargetMode="External"/><Relationship Id="rId15" Type="http://schemas.openxmlformats.org/officeDocument/2006/relationships/hyperlink" Target="https://halilbakirci.av.tr/icra-takibine-itiraz-suresi-kac-gundur/" TargetMode="External"/><Relationship Id="rId16" Type="http://schemas.openxmlformats.org/officeDocument/2006/relationships/hyperlink" Target="https://halilbakirci.av.tr/uyap-vatandas-portali-dosya-sorgulama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Kambiyo Senetlerine Özgü Takipte İmzaya İtiraz Dilekçesi</dc:title>
  <dc:subject>imzaya itiraz dilekçesi</dc:subject>
  <dc:creator>Av. Halil Bakırcı</dc:creator>
  <cp:keywords>imzaya itiraz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