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KAPORA VE BAĞLANMA PARASININ İADESI İÇIN İHTARNAME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İHTARNAME MUHATABA NOTER/KEP ILE GÖNDERILIR. DAVA, TEMEL SÖZLEŞMENIN TÜKETICI, TICARI VEYA GENEL HUKUK NITELIĞINE GÖRE GÖREVLI MAHKEMEDE AÇILIR.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İHTAR EDEN/ÖDEMEYİ YAPAN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MUHATAP/ÖDEMEYİ ALAN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Ödenen bağlanma/cayma parasının hukuki niteliğine göre iadesi ihtarıdır.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tBK m.177’ye göre sözleşme kurulurken verilen para kural olarak bağlanma parasıdır; sözleşmenin kurulduğuna kanıt sayılır ve borçtan düşülür. Taraflar parayı açıkça cayma parası olarak kararlaştırmışsa TBK m.178’deki bırakma veya iki kat iade sonucu doğar.</w:t>
      </w:r>
    </w:p>
    <w:p>
      <w:pPr/>
      <w:r>
        <w:rPr>
          <w:b/>
        </w:rPr>
        <w:t xml:space="preserve">2. </w:t>
      </w:r>
      <w:r>
        <w:t>[TARİH] tarihinde [TAŞINMAZ/ARAÇ/HİZMET] sözleşmesi için [TUTAR] TL ödeme yapıldı.</w:t>
      </w:r>
    </w:p>
    <w:p>
      <w:pPr/>
      <w:r>
        <w:rPr>
          <w:b/>
        </w:rPr>
        <w:t xml:space="preserve">3. </w:t>
      </w:r>
      <w:r>
        <w:t>Sözleşme [MUHATABIN İFADAN KAÇINMASI/ŞARTIN GERÇEKLEŞMEMESİ/GEÇERSİZLİK] nedeniyle tamamlanmadı.</w:t>
      </w:r>
    </w:p>
    <w:p>
      <w:pPr/>
      <w:r>
        <w:rPr>
          <w:b/>
        </w:rPr>
        <w:t xml:space="preserve">4. </w:t>
      </w:r>
      <w:r>
        <w:t>Ödeme belgesinde/sözleşmede paranın hukuki niteliği [BAĞLANMA/CAYMA] olarak düzenlenmiştir veya açık cayma kararı yoktur.</w:t>
      </w:r>
    </w:p>
    <w:p>
      <w:pPr/>
      <w:r>
        <w:rPr>
          <w:b/>
        </w:rPr>
        <w:t xml:space="preserve">5. </w:t>
      </w:r>
      <w:r>
        <w:t>İade için [TARİH]te yapılan talep sonuçsuz kaldı.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TBK m.177: </w:t>
      </w:r>
      <w:r>
        <w:t>Sözleşme kurulurken verilen para, aksine sözleşme veya yerel âdet yoksa bağlanma parası sayılır ve esas alacaktan düşülür.</w:t>
      </w:r>
    </w:p>
    <w:p>
      <w:pPr>
        <w:ind w:left="312"/>
      </w:pPr>
      <w:r>
        <w:rPr>
          <w:b/>
          <w:color w:val="1E3A8A"/>
        </w:rPr>
        <w:t xml:space="preserve">TBK m.178: </w:t>
      </w:r>
      <w:r>
        <w:t>Cayma parası kararlaştırılmışsa veren cayarsa verdiğini bırakır; alan cayarsa iki katını geri verir.</w:t>
      </w:r>
    </w:p>
    <w:p>
      <w:pPr>
        <w:ind w:left="312"/>
      </w:pPr>
      <w:r>
        <w:rPr>
          <w:b/>
          <w:color w:val="1E3A8A"/>
        </w:rPr>
        <w:t xml:space="preserve">TBK m.112: </w:t>
      </w:r>
      <w:r>
        <w:t>Borcun hiç veya gereği gibi ifa edilmemesinden doğan zarar, kusursuzluk ispatlanmadıkça tazmin edilir.</w:t>
      </w:r>
    </w:p>
    <w:p>
      <w:pPr>
        <w:ind w:left="312"/>
      </w:pPr>
      <w:r>
        <w:rPr>
          <w:b/>
          <w:color w:val="1E3A8A"/>
        </w:rPr>
        <w:t xml:space="preserve">TBK m.146: </w:t>
      </w:r>
      <w:r>
        <w:t>Özel süre bulunmayan alacaklarda on yıllık genel zamanaşımı uygulanır.</w:t>
      </w:r>
    </w:p>
    <w:p>
      <w:pPr>
        <w:pStyle w:val="Heading1"/>
      </w:pPr>
      <w:r>
        <w:t>HUKUKİ NEDENLER</w:t>
      </w:r>
    </w:p>
    <w:p>
      <w:r>
        <w:t>TBK m.177, TBK m.178, TBK m.112, TBK m.146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Ön sözleşme/rezervasyon formu</w:t>
      </w:r>
    </w:p>
    <w:p>
      <w:pPr/>
      <w:r>
        <w:rPr>
          <w:b/>
        </w:rPr>
        <w:t xml:space="preserve">2. </w:t>
      </w:r>
      <w:r>
        <w:t>Banka dekontu ve açıklaması</w:t>
      </w:r>
    </w:p>
    <w:p>
      <w:pPr/>
      <w:r>
        <w:rPr>
          <w:b/>
        </w:rPr>
        <w:t xml:space="preserve">3. </w:t>
      </w:r>
      <w:r>
        <w:t>İlan ve yazışmalar</w:t>
      </w:r>
    </w:p>
    <w:p>
      <w:pPr/>
      <w:r>
        <w:rPr>
          <w:b/>
        </w:rPr>
        <w:t xml:space="preserve">4. </w:t>
      </w:r>
      <w:r>
        <w:t>İfa talebi/ret cevabı</w:t>
      </w:r>
    </w:p>
    <w:p>
      <w:pPr/>
      <w:r>
        <w:rPr>
          <w:b/>
        </w:rPr>
        <w:t xml:space="preserve">5. </w:t>
      </w:r>
      <w:r>
        <w:t>Noter ihtarnamesi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[TUTAR] TL’nin ihtarın tebliğinden itibaren [SÜRE] gün içinde faiziyle iadesi,</w:t>
      </w:r>
    </w:p>
    <w:p>
      <w:pPr>
        <w:ind w:left="283"/>
      </w:pPr>
      <w:r>
        <w:rPr>
          <w:b/>
        </w:rPr>
        <w:t xml:space="preserve">2. </w:t>
      </w:r>
      <w:r>
        <w:t>Açık cayma parası ve muhatabın cayması varsa iki kat iade,</w:t>
      </w:r>
    </w:p>
    <w:p>
      <w:pPr>
        <w:ind w:left="283"/>
      </w:pPr>
      <w:r>
        <w:rPr>
          <w:b/>
        </w:rPr>
        <w:t xml:space="preserve">3. </w:t>
      </w:r>
      <w:r>
        <w:t>Ödenmezse takip ve dava giderlerinden sorumluluk bildirimi,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İHTAR EDEN/ÖDEMEYİ YAPAN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Ön sözleşme/rezervasyon formu</w:t>
      </w:r>
    </w:p>
    <w:p>
      <w:pPr/>
      <w:r>
        <w:t>2. Banka dekontu ve açıklaması</w:t>
      </w:r>
    </w:p>
    <w:p>
      <w:pPr/>
      <w:r>
        <w:t>3. İlan ve yazışmalar</w:t>
      </w:r>
    </w:p>
    <w:p>
      <w:pPr/>
      <w:r>
        <w:t>4. İfa talebi/ret cevabı</w:t>
      </w:r>
    </w:p>
    <w:p>
      <w:pPr/>
      <w:r>
        <w:t>5. Noter ihtarnamesi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İhtarname muhataba noter/KEP ile gönderilir. Dava, temel sözleşmenin tüketici, ticari veya genel hukuk niteliğine göre görevli mahkemede açılır.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İade alacağı için kural olarak TBK m.146’daki on yıllık genel zamanaşımı uygulanır; sözleşmenin türüne özgü daha kısa süre varsa o süre esas alınır.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Ödemenin “bağlanma parası” mı, açıkça kararlaştırılmış “cayma parası” mı olduğu sözleşme ve dekont açıklamasından belirlenir.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[TARİH] tarihinde [TAŞINMAZ/ARAÇ/HİZMET] sözleşmesi için [TUTAR] TL ödeme yapıldı.</w:t>
      </w:r>
    </w:p>
    <w:p>
      <w:pPr/>
      <w:r>
        <w:t>Sözleşme □ [MUHATABIN İFADAN KAÇINMASI/ŞARTIN GERÇEKLEŞMEMESİ/GEÇERSİZLİK] nedeniyle tamamlanmadı.</w:t>
      </w:r>
    </w:p>
    <w:p>
      <w:pPr/>
      <w:r>
        <w:t>Ödeme belgesinde/sözleşmede paranın hukuki niteliği □ [BAĞLANMA/CAYMA] olarak düzenlenmiştir veya açık cayma kararı yoktur.</w:t>
      </w:r>
    </w:p>
    <w:p>
      <w:pPr/>
      <w:r>
        <w:t>İade için □ [TARİH]te yapılan talep sonuçsuz kaldı.</w:t>
      </w:r>
    </w:p>
    <w:p>
      <w:pPr>
        <w:pStyle w:val="Heading2"/>
      </w:pPr>
      <w:r>
        <w:t>Başvuru öncesi kritik kontroller</w:t>
      </w:r>
    </w:p>
    <w:p>
      <w:pPr/>
      <w:r>
        <w:t>□ Her “kapora” ödemesini otomatik olarak yanacak para kabul etmeyin.</w:t>
      </w:r>
    </w:p>
    <w:p>
      <w:pPr/>
      <w:r>
        <w:t>□ Taşınmaz satış vaadinde resmî şekil sorununu ayrıca inceleyin.</w:t>
      </w:r>
    </w:p>
    <w:p>
      <w:pPr/>
      <w:r>
        <w:t>□ Dekont açıklaması, sözleşme ve sözleşmeyi kimin bozduğu sonucu belirler.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TBK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Kapora iadesi nasıl alınır?</w:t>
        </w:r>
      </w:hyperlink>
    </w:p>
    <w:p>
      <w:hyperlink r:id="rId13">
        <w:r>
          <w:rPr>
            <w:color w:val="1e3a8a"/>
            <w:u w:val="single"/>
          </w:rPr>
          <w:t>Sözleşmeden dönme ve fesih farkı</w:t>
        </w:r>
      </w:hyperlink>
    </w:p>
    <w:p>
      <w:hyperlink r:id="rId14">
        <w:r>
          <w:rPr>
            <w:color w:val="1e3a8a"/>
            <w:u w:val="single"/>
          </w:rPr>
          <w:t>Tüketici Hakem Heyeti başvurusu</w:t>
        </w:r>
      </w:hyperlink>
    </w:p>
    <w:p>
      <w:hyperlink r:id="rId15">
        <w:r>
          <w:rPr>
            <w:color w:val="1e3a8a"/>
            <w:u w:val="single"/>
          </w:rPr>
          <w:t>Gayrimenkul hukuku hizmetleri</w:t>
        </w:r>
      </w:hyperlink>
    </w:p>
    <w:p>
      <w:hyperlink r:id="rId16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7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6098.pdf" TargetMode="External"/><Relationship Id="rId12" Type="http://schemas.openxmlformats.org/officeDocument/2006/relationships/hyperlink" Target="https://halilbakirci.av.tr/kapora-iadesi-nasil-alinir/" TargetMode="External"/><Relationship Id="rId13" Type="http://schemas.openxmlformats.org/officeDocument/2006/relationships/hyperlink" Target="https://halilbakirci.av.tr/sozlesmeden-donme-ile-sozlesmenin-feshi-arasindaki-fark-tbkya-gore/" TargetMode="External"/><Relationship Id="rId14" Type="http://schemas.openxmlformats.org/officeDocument/2006/relationships/hyperlink" Target="https://halilbakirci.av.tr/tuketici-hakem-heyeti-basvurusu/" TargetMode="External"/><Relationship Id="rId15" Type="http://schemas.openxmlformats.org/officeDocument/2006/relationships/hyperlink" Target="https://halilbakirci.av.tr/mersin-gayrimenkul-avukati/" TargetMode="External"/><Relationship Id="rId16" Type="http://schemas.openxmlformats.org/officeDocument/2006/relationships/hyperlink" Target="https://halilbakirci.av.tr/iletisim/" TargetMode="External"/><Relationship Id="rId17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Kapora ve Bağlanma Parasının İadesi İçin İhtarname Örneği</dc:title>
  <dc:subject>kapora iadesi dilekçesi</dc:subject>
  <dc:creator>Av. Halil Bakırcı</dc:creator>
  <cp:keywords>kapora iadesi dilekçesi, dilekçe örneği, Word indir, Borçlar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