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KIDEM VE İHBAR TAZMINATI DAVA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İŞIN YAPILDIĞI YER VEYA DAVALI IŞVERENIN YERLEŞIM YERINDEKI İŞ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DAVACI/İŞÇİ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DAVALI/İŞVEREN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Ödenmeyen kıdem ve koşulları varsa ihbar tazminatının tahsili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kıdem tazminatı 1475 m.14’teki nedenlerden biriyle sona eren ve en az bir yıl çalışan işçiye; ihbar tazminatı ise 4857 m.17’deki bildirim sürelerine uyulmadan yapılan haksız fesihte doğar. İki alacağın koşulları aynı değildir.</w:t>
      </w:r>
    </w:p>
    <w:p>
      <w:pPr/>
      <w:r>
        <w:rPr>
          <w:b/>
        </w:rPr>
        <w:t xml:space="preserve">2. </w:t>
      </w:r>
      <w:r>
        <w:t>Davacı [BAŞLANGIÇ-SON] tarihleri arasında kesintisiz çalıştı.</w:t>
      </w:r>
    </w:p>
    <w:p>
      <w:pPr/>
      <w:r>
        <w:rPr>
          <w:b/>
        </w:rPr>
        <w:t xml:space="preserve">3. </w:t>
      </w:r>
      <w:r>
        <w:t>Sözleşme [İŞVEREN FESHİ/İŞÇİNİN HAKLI FESHİ/EMEKLİLİK vb.] ile sona erdi.</w:t>
      </w:r>
    </w:p>
    <w:p>
      <w:pPr/>
      <w:r>
        <w:rPr>
          <w:b/>
        </w:rPr>
        <w:t xml:space="preserve">4. </w:t>
      </w:r>
      <w:r>
        <w:t>Fesih nedeni kıdem tazminatına hak kazandırmakta; bildirim süresi verilmediği/ödenmediği için ihbar tazminatı da doğmaktadır.</w:t>
      </w:r>
    </w:p>
    <w:p>
      <w:pPr/>
      <w:r>
        <w:rPr>
          <w:b/>
        </w:rPr>
        <w:t xml:space="preserve">5. </w:t>
      </w:r>
      <w:r>
        <w:t>Giydirilmiş brüt ücret [ÜCRET+SÜREKLİ YAN HAKLAR] toplamıdır.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1475 sayılı Kanun m.14: </w:t>
      </w:r>
      <w:r>
        <w:t>En az bir yıllık kıdem ve kanunda sayılan sona erme sebepleri varsa her tam yıl için kıdem tazminatı ödenir.</w:t>
      </w:r>
    </w:p>
    <w:p>
      <w:pPr>
        <w:ind w:left="312"/>
      </w:pPr>
      <w:r>
        <w:rPr>
          <w:b/>
          <w:color w:val="1E3A8A"/>
        </w:rPr>
        <w:t xml:space="preserve">4857 sayılı Kanun m.17: </w:t>
      </w:r>
      <w:r>
        <w:t>Belirsiz süreli sözleşmede kıdeme göre iki, dört, altı ve sekiz haftalık bildirim süreleri düzenlenir.</w:t>
      </w:r>
    </w:p>
    <w:p>
      <w:pPr>
        <w:ind w:left="312"/>
      </w:pPr>
      <w:r>
        <w:rPr>
          <w:b/>
          <w:color w:val="1E3A8A"/>
        </w:rPr>
        <w:t xml:space="preserve">4857 sayılı Kanun m.32: </w:t>
      </w:r>
      <w:r>
        <w:t>Sözleşme sona erdiğinde ücret ve para ile ölçülebilen haklar tam ödenir.</w:t>
      </w:r>
    </w:p>
    <w:p>
      <w:pPr>
        <w:ind w:left="312"/>
      </w:pPr>
      <w:r>
        <w:rPr>
          <w:b/>
          <w:color w:val="1E3A8A"/>
        </w:rPr>
        <w:t xml:space="preserve">7036 sayılı Kanun m.3: </w:t>
      </w:r>
      <w:r>
        <w:t>Dava öncesi arabuluculuk zorunludur.</w:t>
      </w:r>
    </w:p>
    <w:p>
      <w:pPr>
        <w:pStyle w:val="Heading1"/>
      </w:pPr>
      <w:r>
        <w:t>HUKUKİ NEDENLER</w:t>
      </w:r>
    </w:p>
    <w:p>
      <w:r>
        <w:t>1475 sayılı Kanun m.14, 4857 sayılı Kanun m.17, 4857 sayılı Kanun m.32, 7036 sayılı Kanun m.3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SGK hizmet dökümü</w:t>
      </w:r>
    </w:p>
    <w:p>
      <w:pPr/>
      <w:r>
        <w:rPr>
          <w:b/>
        </w:rPr>
        <w:t xml:space="preserve">2. </w:t>
      </w:r>
      <w:r>
        <w:t>Fesih bildirimi ve çıkış kodu</w:t>
      </w:r>
    </w:p>
    <w:p>
      <w:pPr/>
      <w:r>
        <w:rPr>
          <w:b/>
        </w:rPr>
        <w:t xml:space="preserve">3. </w:t>
      </w:r>
      <w:r>
        <w:t>Ücret bordrosu ve banka kayıtları</w:t>
      </w:r>
    </w:p>
    <w:p>
      <w:pPr/>
      <w:r>
        <w:rPr>
          <w:b/>
        </w:rPr>
        <w:t xml:space="preserve">4. </w:t>
      </w:r>
      <w:r>
        <w:t>Arabuluculuk son tutanağı</w:t>
      </w:r>
    </w:p>
    <w:p>
      <w:pPr/>
      <w:r>
        <w:rPr>
          <w:b/>
        </w:rPr>
        <w:t xml:space="preserve">5. </w:t>
      </w:r>
      <w:r>
        <w:t>Tanıklar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Kıdem tazminatının mevduata uygulanan en yüksek faizle tahsili,</w:t>
      </w:r>
    </w:p>
    <w:p>
      <w:pPr>
        <w:ind w:left="283"/>
      </w:pPr>
      <w:r>
        <w:rPr>
          <w:b/>
        </w:rPr>
        <w:t xml:space="preserve">2. </w:t>
      </w:r>
      <w:r>
        <w:t>İhbar tazminatının yasal faiziyle tahsili,</w:t>
      </w:r>
    </w:p>
    <w:p>
      <w:pPr>
        <w:ind w:left="283"/>
      </w:pPr>
      <w:r>
        <w:rPr>
          <w:b/>
        </w:rPr>
        <w:t xml:space="preserve">3. </w:t>
      </w:r>
      <w:r>
        <w:t>Eksik kayıtların işverenden/SGK’dan getirtilmesi,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DAVACI/İŞÇİ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SGK hizmet dökümü</w:t>
      </w:r>
    </w:p>
    <w:p>
      <w:pPr/>
      <w:r>
        <w:t>2. Fesih bildirimi ve çıkış kodu</w:t>
      </w:r>
    </w:p>
    <w:p>
      <w:pPr/>
      <w:r>
        <w:t>3. Ücret bordrosu ve banka kayıtları</w:t>
      </w:r>
    </w:p>
    <w:p>
      <w:pPr/>
      <w:r>
        <w:t>4. Arabuluculuk son tutanağı</w:t>
      </w:r>
    </w:p>
    <w:p>
      <w:pPr/>
      <w:r>
        <w:t>5. Tanıklar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İşin yapıldığı yer veya davalı işverenin yerleşim yerindeki İş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Kıdem ve ihbar tazminatı alacakları iş sözleşmesinin sona erdiği tarihten itibaren beş yıllık zamanaşımına tabidir.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Zorunlu arabuluculuk tamamlanır. Fesheden taraf, fesih tarihi, fesih kodu, kıdem süresi ve giydirilmiş brüt ücret açıkça belirlenir.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Davacı □ [BAŞLANGIÇ-SON] tarihleri arasında kesintisiz çalıştı.</w:t>
      </w:r>
    </w:p>
    <w:p>
      <w:pPr/>
      <w:r>
        <w:t>Sözleşme □ [İŞVEREN FESHİ/İŞÇİNİN HAKLI FESHİ/EMEKLİLİK vb.] ile sona erdi.</w:t>
      </w:r>
    </w:p>
    <w:p>
      <w:pPr/>
      <w:r>
        <w:t>Fesih nedeni kıdem tazminatına hak kazandırmakta; bildirim süresi verilmediği/ödenmediği için ihbar tazminatı da doğmaktadır.</w:t>
      </w:r>
    </w:p>
    <w:p>
      <w:pPr/>
      <w:r>
        <w:t>Giydirilmiş brüt ücret □ [ÜCRET+SÜREKLİ YAN HAKLAR] toplamıdır.</w:t>
      </w:r>
    </w:p>
    <w:p>
      <w:pPr>
        <w:pStyle w:val="Heading2"/>
      </w:pPr>
      <w:r>
        <w:t>Başvuru öncesi kritik kontroller</w:t>
      </w:r>
    </w:p>
    <w:p>
      <w:pPr/>
      <w:r>
        <w:t>□ Haklı fesih yapan işçi lehine ihbar tazminatı istemeyin.</w:t>
      </w:r>
    </w:p>
    <w:p>
      <w:pPr/>
      <w:r>
        <w:t>□ Kıdem hesabında düzenli yemek, yol, prim gibi para ile ölçülebilir menfaatleri belgeleyin.</w:t>
      </w:r>
    </w:p>
    <w:p>
      <w:pPr/>
      <w:r>
        <w:t>□ Beş yıllık zamanaşımı başlangıcını fesih tarihinden hesaplayın.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1475 güncel metni</w:t>
        </w:r>
      </w:hyperlink>
    </w:p>
    <w:p>
      <w:hyperlink r:id="rId12">
        <w:r>
          <w:rPr>
            <w:color w:val="1e3a8a"/>
            <w:u w:val="single"/>
          </w:rPr>
          <w:t>4857 güncel metni</w:t>
        </w:r>
      </w:hyperlink>
    </w:p>
    <w:p>
      <w:hyperlink r:id="rId13">
        <w:r>
          <w:rPr>
            <w:color w:val="1e3a8a"/>
            <w:u w:val="single"/>
          </w:rPr>
          <w:t>7036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İşçi hakları rehberi</w:t>
        </w:r>
      </w:hyperlink>
    </w:p>
    <w:p>
      <w:hyperlink r:id="rId15">
        <w:r>
          <w:rPr>
            <w:color w:val="1e3a8a"/>
            <w:u w:val="single"/>
          </w:rPr>
          <w:t>Maaş ödenmezse ne yapılır?</w:t>
        </w:r>
      </w:hyperlink>
    </w:p>
    <w:p>
      <w:hyperlink r:id="rId16">
        <w:r>
          <w:rPr>
            <w:color w:val="1e3a8a"/>
            <w:u w:val="single"/>
          </w:rPr>
          <w:t>İşten çıkış kodu nasıl düzeltilir?</w:t>
        </w:r>
      </w:hyperlink>
    </w:p>
    <w:p>
      <w:hyperlink r:id="rId17">
        <w:r>
          <w:rPr>
            <w:color w:val="1e3a8a"/>
            <w:u w:val="single"/>
          </w:rPr>
          <w:t>UYAP Vatandaş Portalı dosya sorgulama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1475.pdf" TargetMode="External"/><Relationship Id="rId12" Type="http://schemas.openxmlformats.org/officeDocument/2006/relationships/hyperlink" Target="https://www.mevzuat.gov.tr/mevzuatmetin/1.5.4857.pdf" TargetMode="External"/><Relationship Id="rId13" Type="http://schemas.openxmlformats.org/officeDocument/2006/relationships/hyperlink" Target="https://www.mevzuat.gov.tr/mevzuatmetin/1.5.7036.pdf" TargetMode="External"/><Relationship Id="rId14" Type="http://schemas.openxmlformats.org/officeDocument/2006/relationships/hyperlink" Target="https://halilbakirci.av.tr/isci-haklari-nelerdir/" TargetMode="External"/><Relationship Id="rId15" Type="http://schemas.openxmlformats.org/officeDocument/2006/relationships/hyperlink" Target="https://halilbakirci.av.tr/maas-odenmezse-ne-yapilir/" TargetMode="External"/><Relationship Id="rId16" Type="http://schemas.openxmlformats.org/officeDocument/2006/relationships/hyperlink" Target="https://halilbakirci.av.tr/isten-cikis-kodu-nasil-duzeltilir/" TargetMode="External"/><Relationship Id="rId17" Type="http://schemas.openxmlformats.org/officeDocument/2006/relationships/hyperlink" Target="https://halilbakirci.av.tr/uyap-vatandas-portali-dosya-sorgulama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Kıdem ve İhbar Tazminatı Dava Dilekçesi Örneği</dc:title>
  <dc:subject>kıdem ihbar tazminatı dilekçesi</dc:subject>
  <dc:creator>Av. Halil Bakırcı</dc:creator>
  <cp:keywords>kıdem ihbar tazminatı dilekçesi, dilekçe örneği, Word indir, İş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