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KIDEM TAZMINATI ÖDEME TALEP İHTARNAMESI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İŞVEREN VEYA IŞVEREN VEKILI; ÖDEME OLMAZSA ZORUNLU ARABULUCULUK BÜROSU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2026/220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Kıdem Tazminatı Ödeme Talep İhtarnamesi kapsamında kıdem tazminatının hesaplanıp ödenmesi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14.02.2026 — gerçek belge tarihini yazınız</w:t>
            </w:r>
          </w:p>
        </w:tc>
      </w:tr>
    </w:tbl>
    <w:p>
      <w:pPr>
        <w:pStyle w:val="Heading1"/>
      </w:pPr>
      <w:r>
        <w:t>AÇIKLAMALAR</w:t>
      </w:r>
    </w:p>
    <w:p>
      <w:pPr>
        <w:keepLines w:val="0"/>
        <w:ind w:firstLine="340"/>
      </w:pPr>
      <w:r>
        <w:rPr>
          <w:b/>
          <w:color w:val="1E3A8A"/>
        </w:rPr>
        <w:t xml:space="preserve">1. </w:t>
      </w:r>
      <w:r>
        <w:t>Örnek olayda Emeklilik koşulunu sağlayarak ayrılan işçi kıdem tazminatının banka hesabına ödenmesini ihtar eder. Başvurucu, uyuşmazlığı 14.02.2026 tarihinde öğrenmiş; ilk yazılı başvurusunu 23.03.2026 tarihinde yapmıştır. Bu tarihler yalnız örnek olup gerçek dosyadaki tebliğ, öğrenme veya işlem tarihleriyle değiştirilmelidir.</w:t>
      </w:r>
    </w:p>
    <w:p>
      <w:pPr>
        <w:keepLines w:val="0"/>
        <w:ind w:firstLine="340"/>
      </w:pPr>
      <w:r>
        <w:rPr>
          <w:b/>
          <w:color w:val="1E3A8A"/>
        </w:rPr>
        <w:t xml:space="preserve">2. </w:t>
      </w:r>
      <w:r>
        <w:t>Çalışma dönemi tarih, yer, kişi ve belge bağlantısıyla açıklanır. Çalışma dönemi bakımından olayın başlangıcı, tarafların sıfatı ve işlem tarihi birlikte gösterilmiştir. Bu olgu SGK hizmet dökümü ile doğrulanmakta; belge Ek-1 olarak sunulmaktadır.</w:t>
      </w:r>
    </w:p>
    <w:p>
      <w:pPr>
        <w:keepLines w:val="0"/>
        <w:ind w:firstLine="340"/>
      </w:pPr>
      <w:r>
        <w:rPr>
          <w:b/>
          <w:color w:val="1E3A8A"/>
        </w:rPr>
        <w:t xml:space="preserve">3. </w:t>
      </w:r>
      <w:r>
        <w:t>Son brüt ücret ve düzenli yan haklar tarih, yer, kişi ve belge bağlantısıyla açıklanır. Son brüt ücret ve düzenli yan haklar yönünden yalnız sonuç belirtilmemiş, işlemin nasıl gerçekleştiği ve başvurucunun hangi hakkının etkilendiği açıklanmıştır. İş sözleşmesi, iddiayı doğrulayan temel kayıt olarak Ek-2 numarasıyla dosyaya eklenmiştir.</w:t>
      </w:r>
    </w:p>
    <w:p>
      <w:pPr>
        <w:keepLines w:val="0"/>
        <w:ind w:firstLine="340"/>
      </w:pPr>
      <w:r>
        <w:rPr>
          <w:b/>
          <w:color w:val="1E3A8A"/>
        </w:rPr>
        <w:t xml:space="preserve">4. </w:t>
      </w:r>
      <w:r>
        <w:t>Fesih/hak kazanma nedeni tarih, yer, kişi ve belge bağlantısıyla açıklanır. Fesih/hak kazanma nedeni somutlaştırılırken tarih sırası korunmuş ve karşı tarafın ya da kurumun işlemi açıkça gösterilmiştir. Bordrolar üzerinde yer alan tarih ve kayıt numarası dilekçedeki anlatımla uyumludur.</w:t>
      </w:r>
    </w:p>
    <w:p>
      <w:pPr>
        <w:keepLines w:val="0"/>
        <w:ind w:firstLine="340"/>
      </w:pPr>
      <w:r>
        <w:rPr>
          <w:b/>
          <w:color w:val="1E3A8A"/>
        </w:rPr>
        <w:t xml:space="preserve">5. </w:t>
      </w:r>
      <w:r>
        <w:t>Ödenmeyen tazminat tarih, yer, kişi ve belge bağlantısıyla açıklanır. Ödenmeyen tazminat başlığı altında başvurunun hukuki yararı açıklanmıştır. İstenen sonucun neden gerekli olduğu, Fesih/ayrılma belgesi ile talep arasındaki bağlantı kurularak gösterilmiştir.</w:t>
      </w:r>
    </w:p>
    <w:p>
      <w:pPr>
        <w:keepLines w:val="0"/>
        <w:ind w:firstLine="340"/>
      </w:pPr>
      <w:r>
        <w:rPr>
          <w:b/>
          <w:color w:val="1E3A8A"/>
        </w:rPr>
        <w:t xml:space="preserve">6. </w:t>
      </w:r>
      <w:r>
        <w:t>Banka hesabı ve ödeme süresi tarih, yer, kişi ve belge bağlantısıyla açıklanır. Banka hesabı ve ödeme süresi konusunda örnek olayın özel koşulları belirtilmiş; varsayıma dayalı ifade kullanılmamıştır. SGK kıdem yazısı varsa mevcut değilse belgenin hangi kurumdan ve hangi dönem için getirtilmesi istendiği ayrıca yazılmalıdır.</w:t>
      </w:r>
    </w:p>
    <w:p>
      <w:pPr>
        <w:pStyle w:val="Heading1"/>
      </w:pPr>
      <w:r>
        <w:t>HUKUKİ DEĞERLENDİRME</w:t>
      </w:r>
    </w:p>
    <w:p>
      <w:r>
        <w:t>Başvurunun hukuki dayanağı 1475 sayılı İş Kanunu m.14; 4857 sayılı İş Kanunu; 7036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1475 sayılı İş Kanunu m.14</w:t>
      </w:r>
    </w:p>
    <w:p>
      <w:r>
        <w:t>1475 sayılı İş Kanunu m.14 hükümleri başvurunun maddi ve usul şartlarını belirler. Güncel resmî metin, tebliğ ve işlem tarihinde birlikte değerlendirilir.</w:t>
      </w:r>
    </w:p>
    <w:p>
      <w:pPr>
        <w:pStyle w:val="Heading2"/>
      </w:pPr>
      <w:r>
        <w:t>4857 sayılı İş Kanunu</w:t>
      </w:r>
    </w:p>
    <w:p>
      <w:r>
        <w:t>4857 sayılı İş Kanunu hükümleri başvurunun maddi ve usul şartlarını belirler. Güncel resmî metin, tebliğ ve işlem tarihinde birlikte değerlendirilir.</w:t>
      </w:r>
    </w:p>
    <w:p>
      <w:pPr>
        <w:pStyle w:val="Heading2"/>
      </w:pPr>
      <w:r>
        <w:t>7036 sayılı Kanun</w:t>
      </w:r>
    </w:p>
    <w:p>
      <w:r>
        <w:t>7036 sayılı Kanun hükümleri başvurunun maddi ve usul şartlarını belirler. Güncel resmî metin, tebliğ ve işlem tarihinde birlikte değerlendirilir.</w:t>
      </w:r>
    </w:p>
    <w:p>
      <w:pPr>
        <w:pStyle w:val="Heading1"/>
      </w:pPr>
      <w:r>
        <w:t>DELİLLER</w:t>
      </w:r>
    </w:p>
    <w:p>
      <w:r>
        <w:t>1. Ek-1: SGK hizmet dökümü — ilgili olay paragrafını doğrulayan tarihli ve okunaklı kayıt.</w:t>
      </w:r>
    </w:p>
    <w:p>
      <w:r>
        <w:t>2. Ek-2: İş sözleşmesi — ilgili olay paragrafını doğrulayan tarihli ve okunaklı kayıt.</w:t>
      </w:r>
    </w:p>
    <w:p>
      <w:r>
        <w:t>3. Ek-3: Bordrolar — ilgili olay paragrafını doğrulayan tarihli ve okunaklı kayıt.</w:t>
      </w:r>
    </w:p>
    <w:p>
      <w:r>
        <w:t>4. Ek-4: Fesih/ayrılma belgesi — ilgili olay paragrafını doğrulayan tarihli ve okunaklı kayıt.</w:t>
      </w:r>
    </w:p>
    <w:p>
      <w:r>
        <w:t>5. Ek-5: SGK kıdem yazısı varsa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1475 sayılı İş Kanunu m.14; 4857 sayılı İş Kanunu; 7036 sayılı Kanun ve somut olaya uygulanacak diğer mevzuat.</w:t>
      </w:r>
    </w:p>
    <w:p>
      <w:pPr>
        <w:pStyle w:val="Heading1"/>
      </w:pPr>
      <w:r>
        <w:t>SONUÇ VE İSTEM</w:t>
      </w:r>
    </w:p>
    <w:p>
      <w:pPr>
        <w:keepNext/>
      </w:pPr>
      <w:r>
        <w:t>Yukarıda açıklanan ve resen dikkate alınacak nedenlerle;</w:t>
      </w:r>
    </w:p>
    <w:p>
      <w:r>
        <w:t>1. Kıdem tazminatının hesaplanıp ödenmesi.</w:t>
      </w:r>
    </w:p>
    <w:p>
      <w:r>
        <w:t>2. Hesap pusulasının verilmesi.</w:t>
      </w:r>
    </w:p>
    <w:p>
      <w:r>
        <w:t>3. Faiz ve dava haklarının saklı tutulması.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23.03.2026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SGK hizmet dökümü</w:t>
      </w:r>
    </w:p>
    <w:p>
      <w:r>
        <w:t>2. İş sözleşmesi</w:t>
      </w:r>
    </w:p>
    <w:p>
      <w:r>
        <w:t>3. Bordrolar</w:t>
      </w:r>
    </w:p>
    <w:p>
      <w:r>
        <w:t>4. Fesih/ayrılma belgesi</w:t>
      </w:r>
    </w:p>
    <w:p>
      <w:r>
        <w:t>5. SGK kıdem yazısı varsa</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İşveren veya işveren vekili; ödeme olmazsa zorunlu arabuluculuk bürosu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Alacağın zamanaşımı dolmadan; fesih sonrası gecikmeden gönderilir.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Fesih nedeni kıdem tazminatına hak kazandırmalı ve çalışma süresi/ücret hesapları belgelenmelidir.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14.02.2026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SGK hizmet dökümü</w:t>
            </w:r>
          </w:p>
        </w:tc>
      </w:tr>
      <w:tr>
        <w:tc>
          <w:tcPr>
            <w:tcW w:type="dxa" w:w="3457"/>
            <w:tcMar>
              <w:top w:w="110" w:type="dxa"/>
              <w:start w:w="120" w:type="dxa"/>
              <w:bottom w:w="110" w:type="dxa"/>
              <w:end w:w="120" w:type="dxa"/>
            </w:tcMar>
          </w:tcPr>
          <w:p>
            <w:r>
              <w:t>23.03.2026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İş sözleşmesi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Bordrolar</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Çalışma dönemi</w:t>
            </w:r>
          </w:p>
        </w:tc>
        <w:tc>
          <w:tcPr>
            <w:tcW w:type="dxa" w:w="3457"/>
            <w:tcMar>
              <w:top w:w="110" w:type="dxa"/>
              <w:start w:w="120" w:type="dxa"/>
              <w:bottom w:w="110" w:type="dxa"/>
              <w:end w:w="120" w:type="dxa"/>
            </w:tcMar>
          </w:tcPr>
          <w:p>
            <w:r>
              <w:t>SGK hizmet dökümü</w:t>
            </w:r>
          </w:p>
        </w:tc>
        <w:tc>
          <w:tcPr>
            <w:tcW w:type="dxa" w:w="3457"/>
            <w:tcMar>
              <w:top w:w="110" w:type="dxa"/>
              <w:start w:w="120" w:type="dxa"/>
              <w:bottom w:w="110" w:type="dxa"/>
              <w:end w:w="120" w:type="dxa"/>
            </w:tcMar>
          </w:tcPr>
          <w:p>
            <w:r>
              <w:t>Kıdem tazminatının hesaplanıp ödenmesi</w:t>
            </w:r>
          </w:p>
        </w:tc>
      </w:tr>
      <w:tr>
        <w:tc>
          <w:tcPr>
            <w:tcW w:type="dxa" w:w="3457"/>
            <w:tcMar>
              <w:top w:w="110" w:type="dxa"/>
              <w:start w:w="120" w:type="dxa"/>
              <w:bottom w:w="110" w:type="dxa"/>
              <w:end w:w="120" w:type="dxa"/>
            </w:tcMar>
          </w:tcPr>
          <w:p>
            <w:r>
              <w:t>Son brüt ücret ve düzenli yan haklar</w:t>
            </w:r>
          </w:p>
        </w:tc>
        <w:tc>
          <w:tcPr>
            <w:tcW w:type="dxa" w:w="3457"/>
            <w:tcMar>
              <w:top w:w="110" w:type="dxa"/>
              <w:start w:w="120" w:type="dxa"/>
              <w:bottom w:w="110" w:type="dxa"/>
              <w:end w:w="120" w:type="dxa"/>
            </w:tcMar>
          </w:tcPr>
          <w:p>
            <w:r>
              <w:t>İş sözleşmesi</w:t>
            </w:r>
          </w:p>
        </w:tc>
        <w:tc>
          <w:tcPr>
            <w:tcW w:type="dxa" w:w="3457"/>
            <w:tcMar>
              <w:top w:w="110" w:type="dxa"/>
              <w:start w:w="120" w:type="dxa"/>
              <w:bottom w:w="110" w:type="dxa"/>
              <w:end w:w="120" w:type="dxa"/>
            </w:tcMar>
          </w:tcPr>
          <w:p>
            <w:r>
              <w:t>Hesap pusulasının verilmesi</w:t>
            </w:r>
          </w:p>
        </w:tc>
      </w:tr>
      <w:tr>
        <w:tc>
          <w:tcPr>
            <w:tcW w:type="dxa" w:w="3457"/>
            <w:tcMar>
              <w:top w:w="110" w:type="dxa"/>
              <w:start w:w="120" w:type="dxa"/>
              <w:bottom w:w="110" w:type="dxa"/>
              <w:end w:w="120" w:type="dxa"/>
            </w:tcMar>
          </w:tcPr>
          <w:p>
            <w:r>
              <w:t>Fesih/hak kazanma nedeni</w:t>
            </w:r>
          </w:p>
        </w:tc>
        <w:tc>
          <w:tcPr>
            <w:tcW w:type="dxa" w:w="3457"/>
            <w:tcMar>
              <w:top w:w="110" w:type="dxa"/>
              <w:start w:w="120" w:type="dxa"/>
              <w:bottom w:w="110" w:type="dxa"/>
              <w:end w:w="120" w:type="dxa"/>
            </w:tcMar>
          </w:tcPr>
          <w:p>
            <w:r>
              <w:t>Bordrolar</w:t>
            </w:r>
          </w:p>
        </w:tc>
        <w:tc>
          <w:tcPr>
            <w:tcW w:type="dxa" w:w="3457"/>
            <w:tcMar>
              <w:top w:w="110" w:type="dxa"/>
              <w:start w:w="120" w:type="dxa"/>
              <w:bottom w:w="110" w:type="dxa"/>
              <w:end w:w="120" w:type="dxa"/>
            </w:tcMar>
          </w:tcPr>
          <w:p>
            <w:r>
              <w:t>Faiz ve dava haklarının saklı tutulması</w:t>
            </w:r>
          </w:p>
        </w:tc>
      </w:tr>
      <w:tr>
        <w:tc>
          <w:tcPr>
            <w:tcW w:type="dxa" w:w="3457"/>
            <w:tcMar>
              <w:top w:w="110" w:type="dxa"/>
              <w:start w:w="120" w:type="dxa"/>
              <w:bottom w:w="110" w:type="dxa"/>
              <w:end w:w="120" w:type="dxa"/>
            </w:tcMar>
          </w:tcPr>
          <w:p>
            <w:r>
              <w:t>Ödenmeyen tazminat</w:t>
            </w:r>
          </w:p>
        </w:tc>
        <w:tc>
          <w:tcPr>
            <w:tcW w:type="dxa" w:w="3457"/>
            <w:tcMar>
              <w:top w:w="110" w:type="dxa"/>
              <w:start w:w="120" w:type="dxa"/>
              <w:bottom w:w="110" w:type="dxa"/>
              <w:end w:w="120" w:type="dxa"/>
            </w:tcMar>
          </w:tcPr>
          <w:p>
            <w:r>
              <w:t>Fesih/ayrılma belgesi</w:t>
            </w:r>
          </w:p>
        </w:tc>
        <w:tc>
          <w:tcPr>
            <w:tcW w:type="dxa" w:w="3457"/>
            <w:tcMar>
              <w:top w:w="110" w:type="dxa"/>
              <w:start w:w="120" w:type="dxa"/>
              <w:bottom w:w="110" w:type="dxa"/>
              <w:end w:w="120" w:type="dxa"/>
            </w:tcMar>
          </w:tcPr>
          <w:p>
            <w:r>
              <w:t>Kıdem tazminatının hesaplanıp ödenmesi</w:t>
            </w:r>
          </w:p>
        </w:tc>
      </w:tr>
      <w:tr>
        <w:tc>
          <w:tcPr>
            <w:tcW w:type="dxa" w:w="3457"/>
            <w:tcMar>
              <w:top w:w="110" w:type="dxa"/>
              <w:start w:w="120" w:type="dxa"/>
              <w:bottom w:w="110" w:type="dxa"/>
              <w:end w:w="120" w:type="dxa"/>
            </w:tcMar>
          </w:tcPr>
          <w:p>
            <w:r>
              <w:t>Banka hesabı ve ödeme süresi</w:t>
            </w:r>
          </w:p>
        </w:tc>
        <w:tc>
          <w:tcPr>
            <w:tcW w:type="dxa" w:w="3457"/>
            <w:tcMar>
              <w:top w:w="110" w:type="dxa"/>
              <w:start w:w="120" w:type="dxa"/>
              <w:bottom w:w="110" w:type="dxa"/>
              <w:end w:w="120" w:type="dxa"/>
            </w:tcMar>
          </w:tcPr>
          <w:p>
            <w:r>
              <w:t>SGK kıdem yazısı varsa</w:t>
            </w:r>
          </w:p>
        </w:tc>
        <w:tc>
          <w:tcPr>
            <w:tcW w:type="dxa" w:w="3457"/>
            <w:tcMar>
              <w:top w:w="110" w:type="dxa"/>
              <w:start w:w="120" w:type="dxa"/>
              <w:bottom w:w="110" w:type="dxa"/>
              <w:end w:w="120" w:type="dxa"/>
            </w:tcMar>
          </w:tcPr>
          <w:p>
            <w:r>
              <w:t>Hesap pusulasının verilmesi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Alacağın zamanaşımı dolmadan; fesih sonrası gecikmeden gönderilir.</w:t>
      </w:r>
    </w:p>
    <w:p>
      <w:r>
        <w:t>• Görev/yetki riski: İşveren veya işveren vekili; ödeme olmazsa zorunlu arabuluculuk bürosu</w:t>
      </w:r>
    </w:p>
    <w:p>
      <w:r>
        <w:t>• Ön koşul riski: Fesih nedeni kıdem tazminatına hak kazandırmalı ve çalışma süresi/ücret hesapları belgelenmelidir.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Tazminatı Ödeme Talep İhtarnamesi Örneği 2026 | Word İndir</dc:title>
  <dc:subject>kıdem tazminatı talep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