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02449"/>
          <w:sz w:val="30"/>
        </w:rPr>
        <w:t>KIRA BEDELININ TESPITI DAVA DILEKÇESI ÖRNEĞI</w:t>
      </w:r>
    </w:p>
    <w:p>
      <w:pPr>
        <w:jc w:val="center"/>
      </w:pPr>
      <w:r>
        <w:rPr>
          <w:b/>
          <w:color w:val="C9A24D"/>
          <w:sz w:val="17"/>
        </w:rPr>
        <w:t>DÜZENLENEBİLİR WORD ŞABLONU • HUKUK KONTROLÜ: 2 Eylül 2026</w:t>
      </w:r>
    </w:p>
    <w:p>
      <w:pPr>
        <w:jc w:val="center"/>
      </w:pPr>
      <w:r>
        <w:rPr>
          <w:b/>
          <w:sz w:val="23"/>
        </w:rPr>
        <w:t>KIRALANANIN BULUNDUĞU YER SULH HUKUK MAHKEMESI. SAYIN HÂKİMLİĞİNE / MAKAMINA</w:t>
      </w:r>
    </w:p>
    <w:tbl>
      <w:tblPr>
        <w:tblW w:type="auto" w:w="0"/>
        <w:jc w:val="center"/>
        <w:tblLayout w:type="fixed"/>
        <w:tblLook w:firstColumn="1" w:firstRow="1" w:lastColumn="0" w:lastRow="0" w:noHBand="0" w:noVBand="1" w:val="04A0"/>
      </w:tblPr>
      <w:tblGrid>
        <w:gridCol w:w="2268"/>
        <w:gridCol w:w="6803"/>
      </w:tblGrid>
      <w:tr>
        <w:tc>
          <w:tcPr>
            <w:tcW w:type="dxa" w:w="2268"/>
            <w:shd w:fill="E8EDF7"/>
            <w:tcMar>
              <w:top w:w="100" w:type="dxa"/>
              <w:start w:w="120" w:type="dxa"/>
              <w:bottom w:w="100" w:type="dxa"/>
              <w:end w:w="120" w:type="dxa"/>
            </w:tcMar>
            <w:vAlign w:val="center"/>
          </w:tcPr>
          <w:p>
            <w:r>
              <w:rPr>
                <w:rFonts w:ascii="Arial" w:hAnsi="Arial"/>
                <w:b/>
                <w:color w:val="102449"/>
                <w:sz w:val="18"/>
              </w:rPr>
              <w:t>DAVACI/KİRAYA VEREN veya KİRACI</w:t>
            </w:r>
          </w:p>
        </w:tc>
        <w:tc>
          <w:tcPr>
            <w:tcW w:type="dxa" w:w="6803"/>
            <w:shd w:fill="F8FAFC"/>
            <w:tcMar>
              <w:top w:w="100" w:type="dxa"/>
              <w:start w:w="120" w:type="dxa"/>
              <w:bottom w:w="100" w:type="dxa"/>
              <w:end w:w="120" w:type="dxa"/>
            </w:tcMar>
            <w:vAlign w:val="center"/>
          </w:tcPr>
          <w:p>
            <w:r>
              <w:rPr>
                <w:rFonts w:ascii="Arial" w:hAnsi="Arial"/>
                <w:sz w:val="18"/>
              </w:rPr>
              <w:t>[AD SOYAD / T.C. KİMLİK NO / ADRES]</w:t>
            </w:r>
          </w:p>
        </w:tc>
      </w:tr>
      <w:tr>
        <w:tc>
          <w:tcPr>
            <w:tcW w:type="dxa" w:w="2268"/>
            <w:shd w:fill="E8EDF7"/>
            <w:tcMar>
              <w:top w:w="100" w:type="dxa"/>
              <w:start w:w="120" w:type="dxa"/>
              <w:bottom w:w="100" w:type="dxa"/>
              <w:end w:w="120" w:type="dxa"/>
            </w:tcMar>
            <w:vAlign w:val="center"/>
          </w:tcPr>
          <w:p>
            <w:r>
              <w:rPr>
                <w:rFonts w:ascii="Arial" w:hAnsi="Arial"/>
                <w:b/>
                <w:color w:val="102449"/>
                <w:sz w:val="18"/>
              </w:rPr>
              <w:t>DAVALI</w:t>
            </w:r>
          </w:p>
        </w:tc>
        <w:tc>
          <w:tcPr>
            <w:tcW w:type="dxa" w:w="6803"/>
            <w:shd w:fill="F8FAFC"/>
            <w:tcMar>
              <w:top w:w="100" w:type="dxa"/>
              <w:start w:w="120" w:type="dxa"/>
              <w:bottom w:w="100" w:type="dxa"/>
              <w:end w:w="120" w:type="dxa"/>
            </w:tcMar>
            <w:vAlign w:val="center"/>
          </w:tcPr>
          <w:p>
            <w:r>
              <w:rPr>
                <w:rFonts w:ascii="Arial" w:hAnsi="Arial"/>
                <w:sz w:val="18"/>
              </w:rPr>
              <w:t>[AD SOYAD veya UNVAN / T.C.-VKN / ADRES]</w:t>
            </w:r>
          </w:p>
        </w:tc>
      </w:tr>
      <w:tr>
        <w:tc>
          <w:tcPr>
            <w:tcW w:type="dxa" w:w="2268"/>
            <w:shd w:fill="E8EDF7"/>
            <w:tcMar>
              <w:top w:w="100" w:type="dxa"/>
              <w:start w:w="120" w:type="dxa"/>
              <w:bottom w:w="100" w:type="dxa"/>
              <w:end w:w="120" w:type="dxa"/>
            </w:tcMar>
            <w:vAlign w:val="center"/>
          </w:tcPr>
          <w:p>
            <w:r>
              <w:rPr>
                <w:rFonts w:ascii="Arial" w:hAnsi="Arial"/>
                <w:b/>
                <w:color w:val="102449"/>
                <w:sz w:val="18"/>
              </w:rPr>
              <w:t>VEKİLİ</w:t>
            </w:r>
          </w:p>
        </w:tc>
        <w:tc>
          <w:tcPr>
            <w:tcW w:type="dxa" w:w="6803"/>
            <w:shd w:fill="F8FAFC"/>
            <w:tcMar>
              <w:top w:w="100" w:type="dxa"/>
              <w:start w:w="120" w:type="dxa"/>
              <w:bottom w:w="100" w:type="dxa"/>
              <w:end w:w="120" w:type="dxa"/>
            </w:tcMar>
            <w:vAlign w:val="center"/>
          </w:tcPr>
          <w:p>
            <w:r>
              <w:rPr>
                <w:rFonts w:ascii="Arial" w:hAnsi="Arial"/>
                <w:sz w:val="18"/>
              </w:rPr>
              <w:t>[VARSA AVUKAT ADI, BARO-SİCİL, ADRES]</w:t>
            </w:r>
          </w:p>
        </w:tc>
      </w:tr>
      <w:tr>
        <w:tc>
          <w:tcPr>
            <w:tcW w:type="dxa" w:w="2268"/>
            <w:shd w:fill="E8EDF7"/>
            <w:tcMar>
              <w:top w:w="100" w:type="dxa"/>
              <w:start w:w="120" w:type="dxa"/>
              <w:bottom w:w="100" w:type="dxa"/>
              <w:end w:w="120" w:type="dxa"/>
            </w:tcMar>
            <w:vAlign w:val="center"/>
          </w:tcPr>
          <w:p>
            <w:r>
              <w:rPr>
                <w:rFonts w:ascii="Arial" w:hAnsi="Arial"/>
                <w:b/>
                <w:color w:val="102449"/>
                <w:sz w:val="18"/>
              </w:rPr>
              <w:t>DOSYA NO</w:t>
            </w:r>
          </w:p>
        </w:tc>
        <w:tc>
          <w:tcPr>
            <w:tcW w:type="dxa" w:w="6803"/>
            <w:shd w:fill="F8FAFC"/>
            <w:tcMar>
              <w:top w:w="100" w:type="dxa"/>
              <w:start w:w="120" w:type="dxa"/>
              <w:bottom w:w="100" w:type="dxa"/>
              <w:end w:w="120" w:type="dxa"/>
            </w:tcMar>
            <w:vAlign w:val="center"/>
          </w:tcPr>
          <w:p>
            <w:r>
              <w:rPr>
                <w:rFonts w:ascii="Arial" w:hAnsi="Arial"/>
                <w:sz w:val="18"/>
              </w:rPr>
              <w:t>[ESAS / İCRA / SORUŞTURMA / KARAR NUMARASI]</w:t>
            </w:r>
          </w:p>
        </w:tc>
      </w:tr>
      <w:tr>
        <w:tc>
          <w:tcPr>
            <w:tcW w:type="dxa" w:w="2268"/>
            <w:shd w:fill="E8EDF7"/>
            <w:tcMar>
              <w:top w:w="100" w:type="dxa"/>
              <w:start w:w="120" w:type="dxa"/>
              <w:bottom w:w="100" w:type="dxa"/>
              <w:end w:w="120" w:type="dxa"/>
            </w:tcMar>
            <w:vAlign w:val="center"/>
          </w:tcPr>
          <w:p>
            <w:r>
              <w:rPr>
                <w:rFonts w:ascii="Arial" w:hAnsi="Arial"/>
                <w:b/>
                <w:color w:val="102449"/>
                <w:sz w:val="18"/>
              </w:rPr>
              <w:t>KONU</w:t>
            </w:r>
          </w:p>
        </w:tc>
        <w:tc>
          <w:tcPr>
            <w:tcW w:type="dxa" w:w="6803"/>
            <w:shd w:fill="F8FAFC"/>
            <w:tcMar>
              <w:top w:w="100" w:type="dxa"/>
              <w:start w:w="120" w:type="dxa"/>
              <w:bottom w:w="100" w:type="dxa"/>
              <w:end w:w="120" w:type="dxa"/>
            </w:tcMar>
            <w:vAlign w:val="center"/>
          </w:tcPr>
          <w:p>
            <w:r>
              <w:rPr>
                <w:rFonts w:ascii="Arial" w:hAnsi="Arial"/>
                <w:sz w:val="18"/>
              </w:rPr>
              <w:t>Yeni kira döneminde aylık kira bedelinin TBK m.344-345 uyarınca tespiti istemidir.</w:t>
            </w:r>
          </w:p>
        </w:tc>
      </w:tr>
    </w:tbl>
    <w:p>
      <w:pPr>
        <w:pStyle w:val="Heading1"/>
      </w:pPr>
      <w:r>
        <w:t>AÇIKLAMALAR</w:t>
      </w:r>
    </w:p>
    <w:p>
      <w:pPr/>
      <w:r>
        <w:rPr>
          <w:b/>
        </w:rPr>
        <w:t xml:space="preserve">1. </w:t>
      </w:r>
      <w:r>
        <w:t>Bu başvuru tBK m.344-345 uyarınca kira tespitinde tüketici fiyat endeksinin on iki aylık ortalaması, taşınmazın durumu ve emsal bedeller değerlendirilir. Beş yılı aşan sözleşmelerde hakkaniyet ve emsal kiralar daha geniş biçimde hesaba katılır.</w:t>
      </w:r>
    </w:p>
    <w:p>
      <w:pPr/>
      <w:r>
        <w:rPr>
          <w:b/>
        </w:rPr>
        <w:t xml:space="preserve">2. </w:t>
      </w:r>
      <w:r>
        <w:t>Kira sözleşmesi [BAŞLANGIÇ] tarihli ve mevcut aylık bedel [TUTAR] TL’dir.</w:t>
      </w:r>
    </w:p>
    <w:p>
      <w:pPr/>
      <w:r>
        <w:rPr>
          <w:b/>
        </w:rPr>
        <w:t xml:space="preserve">3. </w:t>
      </w:r>
      <w:r>
        <w:t>Yeni kira dönemi [TARİH] tarihinde başlamaktadır/başlamıştır.</w:t>
      </w:r>
    </w:p>
    <w:p>
      <w:pPr/>
      <w:r>
        <w:rPr>
          <w:b/>
        </w:rPr>
        <w:t xml:space="preserve">4. </w:t>
      </w:r>
      <w:r>
        <w:t>Taşınmazın konumu, büyüklüğü, niteliği ve emsal kira bedelleri mevcut bedelin [AÇIKLAMA] kaldığını göstermektedir.</w:t>
      </w:r>
    </w:p>
    <w:p>
      <w:pPr/>
      <w:r>
        <w:rPr>
          <w:b/>
        </w:rPr>
        <w:t xml:space="preserve">5. </w:t>
      </w:r>
      <w:r>
        <w:t>[BİLDİRİM] tarihinde artış talebi yazılı bildirildi ve arabuluculuk anlaşmama ile sonuçlandı.</w:t>
      </w:r>
    </w:p>
    <w:p>
      <w:pPr/>
      <w:r>
        <w:rPr>
          <w:b/>
        </w:rPr>
        <w:t xml:space="preserve">6. </w:t>
      </w:r>
      <w:r>
        <w:t>Aşağıdaki kanuni düzenlemeler somut olaya doğrudan uygulanır:</w:t>
      </w:r>
    </w:p>
    <w:p>
      <w:pPr>
        <w:ind w:left="312"/>
      </w:pPr>
      <w:r>
        <w:rPr>
          <w:b/>
          <w:color w:val="1E3A8A"/>
        </w:rPr>
        <w:t xml:space="preserve">TBK m.344: </w:t>
      </w:r>
      <w:r>
        <w:t>Kira artışı ve beş yıldan uzun/yenilenen sözleşmelerde hâkimin belirleyeceği bedelin ölçütleri düzenlenir.</w:t>
      </w:r>
    </w:p>
    <w:p>
      <w:pPr>
        <w:ind w:left="312"/>
      </w:pPr>
      <w:r>
        <w:rPr>
          <w:b/>
          <w:color w:val="1E3A8A"/>
        </w:rPr>
        <w:t xml:space="preserve">TBK m.345: </w:t>
      </w:r>
      <w:r>
        <w:t>Tespit davasının zamanı ve kararın yeni dönem başından itibaren uygulanmasının koşulları düzenlenir.</w:t>
      </w:r>
    </w:p>
    <w:p>
      <w:pPr>
        <w:ind w:left="312"/>
      </w:pPr>
      <w:r>
        <w:rPr>
          <w:b/>
          <w:color w:val="1E3A8A"/>
        </w:rPr>
        <w:t xml:space="preserve">6325 sayılı Kanun m.18/B: </w:t>
      </w:r>
      <w:r>
        <w:t>Kira tespit davasından önce arabuluculuk dava şartıdır.</w:t>
      </w:r>
    </w:p>
    <w:p>
      <w:pPr>
        <w:pStyle w:val="Heading1"/>
      </w:pPr>
      <w:r>
        <w:t>HUKUKİ NEDENLER</w:t>
      </w:r>
    </w:p>
    <w:p>
      <w:r>
        <w:t>TBK m.344, TBK m.345, 6325 sayılı Kanun m.18/B ve ilgili diğer mevzuat.</w:t>
      </w:r>
    </w:p>
    <w:p>
      <w:pPr>
        <w:pStyle w:val="Heading1"/>
      </w:pPr>
      <w:r>
        <w:t>DELİLLER</w:t>
      </w:r>
    </w:p>
    <w:p>
      <w:pPr/>
      <w:r>
        <w:rPr>
          <w:b/>
        </w:rPr>
        <w:t xml:space="preserve">1. </w:t>
      </w:r>
      <w:r>
        <w:t>Kira sözleşmesi</w:t>
      </w:r>
    </w:p>
    <w:p>
      <w:pPr/>
      <w:r>
        <w:rPr>
          <w:b/>
        </w:rPr>
        <w:t xml:space="preserve">2. </w:t>
      </w:r>
      <w:r>
        <w:t>Noter bildirimi</w:t>
      </w:r>
    </w:p>
    <w:p>
      <w:pPr/>
      <w:r>
        <w:rPr>
          <w:b/>
        </w:rPr>
        <w:t xml:space="preserve">3. </w:t>
      </w:r>
      <w:r>
        <w:t>Arabuluculuk son tutanağı</w:t>
      </w:r>
    </w:p>
    <w:p>
      <w:pPr/>
      <w:r>
        <w:rPr>
          <w:b/>
        </w:rPr>
        <w:t xml:space="preserve">4. </w:t>
      </w:r>
      <w:r>
        <w:t>Emsal kira sözleşmeleri ve ilanlar</w:t>
      </w:r>
    </w:p>
    <w:p>
      <w:pPr/>
      <w:r>
        <w:rPr>
          <w:b/>
        </w:rPr>
        <w:t xml:space="preserve">5. </w:t>
      </w:r>
      <w:r>
        <w:t>Keşif ve bilirkişi</w:t>
      </w:r>
    </w:p>
    <w:p>
      <w:pPr/>
      <w:r>
        <w:t>Karşı tarafın ve ilgili kurumların elindeki kayıtların celbi ile hukuka uygun her türlü delil.</w:t>
      </w:r>
    </w:p>
    <w:p>
      <w:pPr>
        <w:pStyle w:val="Heading1"/>
      </w:pPr>
      <w:r>
        <w:t>SONUÇ VE İSTEM</w:t>
      </w:r>
    </w:p>
    <w:p>
      <w:r>
        <w:t>Yukarıda açıklanan nedenlerle;</w:t>
      </w:r>
    </w:p>
    <w:p>
      <w:pPr>
        <w:ind w:left="283"/>
      </w:pPr>
      <w:r>
        <w:rPr>
          <w:b/>
        </w:rPr>
        <w:t xml:space="preserve">1. </w:t>
      </w:r>
      <w:r>
        <w:t>Yeni dönem aylık kira bedelinin [TALEP] TL olarak tespiti,</w:t>
      </w:r>
    </w:p>
    <w:p>
      <w:pPr>
        <w:ind w:left="283"/>
      </w:pPr>
      <w:r>
        <w:rPr>
          <w:b/>
        </w:rPr>
        <w:t xml:space="preserve">2. </w:t>
      </w:r>
      <w:r>
        <w:t>Kararın TBK m.345 koşullarıyla yeni dönemin başından uygulanması,</w:t>
      </w:r>
    </w:p>
    <w:p>
      <w:pPr>
        <w:jc w:val="right"/>
      </w:pPr>
      <w:r>
        <w:t>karar verilmesini saygıyla arz ve talep ederim. [TARİH]</w:t>
      </w:r>
    </w:p>
    <w:p>
      <w:pPr>
        <w:jc w:val="right"/>
      </w:pPr>
      <w:r>
        <w:rPr>
          <w:b/>
        </w:rPr>
        <w:t>DAVACI/KİRAYA VEREN veya KİRACI</w:t>
        <w:br/>
        <w:t>[AD SOYAD]</w:t>
        <w:br/>
        <w:t>İmza / (E-İMZALIDIR)</w:t>
      </w:r>
    </w:p>
    <w:p>
      <w:pPr>
        <w:pStyle w:val="Heading1"/>
      </w:pPr>
      <w:r>
        <w:t>EKLER</w:t>
      </w:r>
    </w:p>
    <w:p>
      <w:pPr/>
      <w:r>
        <w:t>1. Kira sözleşmesi</w:t>
      </w:r>
    </w:p>
    <w:p>
      <w:pPr/>
      <w:r>
        <w:t>2. Noter bildirimi</w:t>
      </w:r>
    </w:p>
    <w:p>
      <w:pPr/>
      <w:r>
        <w:t>3. Arabuluculuk son tutanağı</w:t>
      </w:r>
    </w:p>
    <w:p>
      <w:pPr/>
      <w:r>
        <w:t>4. Emsal kira sözleşmeleri ve ilanlar</w:t>
      </w:r>
    </w:p>
    <w:p>
      <w:pPr/>
      <w:r>
        <w:t>5. Keşif ve bilirkişi</w:t>
      </w:r>
    </w:p>
    <w:p>
      <w:r>
        <w:br w:type="page"/>
      </w:r>
    </w:p>
    <w:p>
      <w:pPr>
        <w:jc w:val="center"/>
      </w:pPr>
      <w:r>
        <w:rPr>
          <w:b/>
          <w:color w:val="102449"/>
          <w:sz w:val="28"/>
        </w:rPr>
        <w:t>DOLDURMA VE DOSYALAMA KONTROLÜ</w:t>
      </w:r>
    </w:p>
    <w:tbl>
      <w:tblPr>
        <w:tblW w:type="auto" w:w="0"/>
        <w:jc w:val="center"/>
        <w:tblLayout w:type="fixed"/>
        <w:tblLook w:firstColumn="1" w:firstRow="1" w:lastColumn="0" w:lastRow="0" w:noHBand="0" w:noVBand="1" w:val="04A0"/>
      </w:tblPr>
      <w:tblGrid>
        <w:gridCol w:w="2268"/>
        <w:gridCol w:w="6803"/>
      </w:tblGrid>
      <w:tr>
        <w:tc>
          <w:tcPr>
            <w:tcW w:type="dxa" w:w="2268"/>
            <w:shd w:fill="E8EDF7"/>
            <w:tcMar>
              <w:top w:w="100" w:type="dxa"/>
              <w:start w:w="120" w:type="dxa"/>
              <w:bottom w:w="100" w:type="dxa"/>
              <w:end w:w="120" w:type="dxa"/>
            </w:tcMar>
            <w:vAlign w:val="center"/>
          </w:tcPr>
          <w:p>
            <w:r>
              <w:rPr>
                <w:rFonts w:ascii="Arial" w:hAnsi="Arial"/>
                <w:b/>
                <w:color w:val="102449"/>
                <w:sz w:val="18"/>
              </w:rPr>
              <w:t>GÖREVLİ/YETKİLİ MERCİ</w:t>
            </w:r>
          </w:p>
        </w:tc>
        <w:tc>
          <w:tcPr>
            <w:tcW w:type="dxa" w:w="6803"/>
            <w:shd w:fill="F8FAFC"/>
            <w:tcMar>
              <w:top w:w="100" w:type="dxa"/>
              <w:start w:w="120" w:type="dxa"/>
              <w:bottom w:w="100" w:type="dxa"/>
              <w:end w:w="120" w:type="dxa"/>
            </w:tcMar>
            <w:vAlign w:val="center"/>
          </w:tcPr>
          <w:p>
            <w:r>
              <w:rPr>
                <w:rFonts w:ascii="Arial" w:hAnsi="Arial"/>
                <w:sz w:val="18"/>
              </w:rPr>
              <w:t>Kiralananın bulunduğu yer Sulh Hukuk Mahkemesi.</w:t>
            </w:r>
          </w:p>
        </w:tc>
      </w:tr>
      <w:tr>
        <w:tc>
          <w:tcPr>
            <w:tcW w:type="dxa" w:w="2268"/>
            <w:shd w:fill="E8EDF7"/>
            <w:tcMar>
              <w:top w:w="100" w:type="dxa"/>
              <w:start w:w="120" w:type="dxa"/>
              <w:bottom w:w="100" w:type="dxa"/>
              <w:end w:w="120" w:type="dxa"/>
            </w:tcMar>
            <w:vAlign w:val="center"/>
          </w:tcPr>
          <w:p>
            <w:r>
              <w:rPr>
                <w:rFonts w:ascii="Arial" w:hAnsi="Arial"/>
                <w:b/>
                <w:color w:val="102449"/>
                <w:sz w:val="18"/>
              </w:rPr>
              <w:t>SÜRE</w:t>
            </w:r>
          </w:p>
        </w:tc>
        <w:tc>
          <w:tcPr>
            <w:tcW w:type="dxa" w:w="6803"/>
            <w:shd w:fill="F8FAFC"/>
            <w:tcMar>
              <w:top w:w="100" w:type="dxa"/>
              <w:start w:w="120" w:type="dxa"/>
              <w:bottom w:w="100" w:type="dxa"/>
              <w:end w:w="120" w:type="dxa"/>
            </w:tcMar>
            <w:vAlign w:val="center"/>
          </w:tcPr>
          <w:p>
            <w:r>
              <w:rPr>
                <w:rFonts w:ascii="Arial" w:hAnsi="Arial"/>
                <w:sz w:val="18"/>
              </w:rPr>
              <w:t>Dava her zaman açılabilir. Yeni dönemin başından itibaren etkili olması için dava yeni dönemden en az otuz gün önce açılmalı veya bu sürede yazılı artış bildirimi yapılıp dava yeni dönem sonuna kadar açılmalıdır.</w:t>
            </w:r>
          </w:p>
        </w:tc>
      </w:tr>
      <w:tr>
        <w:tc>
          <w:tcPr>
            <w:tcW w:type="dxa" w:w="2268"/>
            <w:shd w:fill="E8EDF7"/>
            <w:tcMar>
              <w:top w:w="100" w:type="dxa"/>
              <w:start w:w="120" w:type="dxa"/>
              <w:bottom w:w="100" w:type="dxa"/>
              <w:end w:w="120" w:type="dxa"/>
            </w:tcMar>
            <w:vAlign w:val="center"/>
          </w:tcPr>
          <w:p>
            <w:r>
              <w:rPr>
                <w:rFonts w:ascii="Arial" w:hAnsi="Arial"/>
                <w:b/>
                <w:color w:val="102449"/>
                <w:sz w:val="18"/>
              </w:rPr>
              <w:t>DAVA/BAŞVURU ŞARTI</w:t>
            </w:r>
          </w:p>
        </w:tc>
        <w:tc>
          <w:tcPr>
            <w:tcW w:type="dxa" w:w="6803"/>
            <w:shd w:fill="F8FAFC"/>
            <w:tcMar>
              <w:top w:w="100" w:type="dxa"/>
              <w:start w:w="120" w:type="dxa"/>
              <w:bottom w:w="100" w:type="dxa"/>
              <w:end w:w="120" w:type="dxa"/>
            </w:tcMar>
            <w:vAlign w:val="center"/>
          </w:tcPr>
          <w:p>
            <w:r>
              <w:rPr>
                <w:rFonts w:ascii="Arial" w:hAnsi="Arial"/>
                <w:sz w:val="18"/>
              </w:rPr>
              <w:t>Zorunlu arabuluculuk tamamlanır. Kira başlangıcı, mevcut bedel, emsaller ve beş yıllık dönem açıkça gösterilir.</w:t>
            </w:r>
          </w:p>
        </w:tc>
      </w:tr>
    </w:tbl>
    <w:p>
      <w:pPr>
        <w:pStyle w:val="Heading2"/>
      </w:pPr>
      <w:r>
        <w:t>Dilekçeye eklenmesi gereken somut bilgiler</w:t>
      </w:r>
    </w:p>
    <w:p>
      <w:pPr/>
      <w:r>
        <w:t>Kira sözleşmesi □ [BAŞLANGIÇ] tarihli ve mevcut aylık bedel [TUTAR] TL’dir.</w:t>
      </w:r>
    </w:p>
    <w:p>
      <w:pPr/>
      <w:r>
        <w:t>Yeni kira dönemi □ [TARİH] tarihinde başlamaktadır/başlamıştır.</w:t>
      </w:r>
    </w:p>
    <w:p>
      <w:pPr/>
      <w:r>
        <w:t>Taşınmazın konumu, büyüklüğü, niteliği ve emsal kira bedelleri mevcut bedelin □ [AÇIKLAMA] kaldığını göstermektedir.</w:t>
      </w:r>
    </w:p>
    <w:p>
      <w:pPr/>
      <w:r>
        <w:t>□ [BİLDİRİM] tarihinde artış talebi yazılı bildirildi ve arabuluculuk anlaşmama ile sonuçlandı.</w:t>
      </w:r>
    </w:p>
    <w:p>
      <w:pPr>
        <w:pStyle w:val="Heading2"/>
      </w:pPr>
      <w:r>
        <w:t>Başvuru öncesi kritik kontroller</w:t>
      </w:r>
    </w:p>
    <w:p>
      <w:pPr/>
      <w:r>
        <w:t>□ Tespit ile uyarlama davasını karıştırmayın; tespit olağan kira artış rejimine dayanır.</w:t>
      </w:r>
    </w:p>
    <w:p>
      <w:pPr/>
      <w:r>
        <w:t>□ Yeni dönem etkisi için otuz günlük bildirim/açılış takvimini belgeleyin.</w:t>
      </w:r>
    </w:p>
    <w:p>
      <w:pPr/>
      <w:r>
        <w:t>□ Emsalleri aynı bölge, nitelik, büyüklük ve tarih bakımından karşılaştırın.</w:t>
      </w:r>
    </w:p>
    <w:p>
      <w:pPr>
        <w:pStyle w:val="Heading2"/>
      </w:pPr>
      <w:r>
        <w:t>Resmî mevzuat bağlantıları</w:t>
      </w:r>
    </w:p>
    <w:p>
      <w:hyperlink r:id="rId11">
        <w:r>
          <w:rPr>
            <w:color w:val="1e3a8a"/>
            <w:u w:val="single"/>
          </w:rPr>
          <w:t>TBK güncel metni</w:t>
        </w:r>
      </w:hyperlink>
    </w:p>
    <w:p>
      <w:hyperlink r:id="rId12">
        <w:r>
          <w:rPr>
            <w:color w:val="1e3a8a"/>
            <w:u w:val="single"/>
          </w:rPr>
          <w:t>6325 güncel metni</w:t>
        </w:r>
      </w:hyperlink>
    </w:p>
    <w:p>
      <w:pPr>
        <w:pStyle w:val="Heading2"/>
      </w:pPr>
      <w:r>
        <w:t>İlgili hukuk rehberleri</w:t>
      </w:r>
    </w:p>
    <w:p>
      <w:hyperlink r:id="rId13">
        <w:r>
          <w:rPr>
            <w:color w:val="1e3a8a"/>
            <w:u w:val="single"/>
          </w:rPr>
          <w:t>Kira tespit davası</w:t>
        </w:r>
      </w:hyperlink>
    </w:p>
    <w:p>
      <w:hyperlink r:id="rId14">
        <w:r>
          <w:rPr>
            <w:color w:val="1e3a8a"/>
            <w:u w:val="single"/>
          </w:rPr>
          <w:t>Kira uyuşmazlıklarında arabuluculuk</w:t>
        </w:r>
      </w:hyperlink>
    </w:p>
    <w:p>
      <w:hyperlink r:id="rId15">
        <w:r>
          <w:rPr>
            <w:color w:val="1e3a8a"/>
            <w:u w:val="single"/>
          </w:rPr>
          <w:t>Kira sözleşmesi nasıl yapılır?</w:t>
        </w:r>
      </w:hyperlink>
    </w:p>
    <w:p>
      <w:hyperlink r:id="rId16">
        <w:r>
          <w:rPr>
            <w:color w:val="1e3a8a"/>
            <w:u w:val="single"/>
          </w:rPr>
          <w:t>Kira uyarlama davası</w:t>
        </w:r>
      </w:hyperlink>
    </w:p>
    <w:p>
      <w:hyperlink r:id="rId17">
        <w:r>
          <w:rPr>
            <w:color w:val="1e3a8a"/>
            <w:u w:val="single"/>
          </w:rPr>
          <w:t>Randevu ve iletişim</w:t>
        </w:r>
      </w:hyperlink>
    </w:p>
    <w:p>
      <w:pPr>
        <w:pStyle w:val="BKNote"/>
      </w:pPr>
      <w:r>
        <w:rPr>
          <w:b/>
        </w:rPr>
        <w:t xml:space="preserve">Kullanım notu: </w:t>
      </w:r>
      <w:r>
        <w:t>Köşeli parantezli alanları dosyanıza göre doldurun; seçenekli taleplerden yalnız somut olaya uyanları bırakın. Bu kontrol sayfasını mahkemeye/kuruma sunmadan önce dilekçeden ayırın. Süre, görev, yetki ve dava şartı dosyanın özelliklerine göre son kez doğrulanmalıdır.</w:t>
      </w:r>
    </w:p>
    <w:p>
      <w:pPr>
        <w:jc w:val="center"/>
      </w:pPr>
      <w:hyperlink r:id="rId18">
        <w:r>
          <w:rPr>
            <w:color w:val="1e3a8a"/>
            <w:u w:val="single"/>
          </w:rPr>
          <w:t>halilbakirci.av.tr – Av. Halil Bakırcı</w:t>
        </w:r>
      </w:hyperlink>
    </w:p>
    <w:sectPr w:rsidR="00FC693F" w:rsidRPr="0006063C" w:rsidSect="00034616">
      <w:headerReference w:type="default" r:id="rId9"/>
      <w:footerReference w:type="default" r:id="rId10"/>
      <w:pgSz w:w="12240" w:h="15840"/>
      <w:pgMar w:top="964" w:right="1134" w:bottom="907"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4748B"/>
        <w:sz w:val="15"/>
      </w:rPr>
      <w:t>İhsaniye Mahallesi, 4903. Sokak, Profit İş Merkezi No:23, Kat:3, Daire:14, 33070 Akdeniz/Mersin, Türkiye  •  +90 552 224 43 66</w:t>
    </w:r>
  </w:p>
  <w:p>
    <w:pPr>
      <w:jc w:val="center"/>
    </w:pPr>
    <w:r>
      <w:rPr>
        <w:rFonts w:ascii="Arial" w:hAnsi="Arial"/>
        <w:color w:val="64748B"/>
        <w:sz w:val="15"/>
      </w:rPr>
      <w:t xml:space="preserve">Sayfa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b/>
        <w:color w:val="1E3A8A"/>
        <w:sz w:val="17"/>
      </w:rPr>
      <w:t>BAKIRCI &amp; KESKİN HUKUK BÜROSU  •  HALILBAKIRCI.AV.TR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rial" w:hAnsi="Arial" w:eastAsia="Arial"/>
      <w:color w:val="1720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ascii="Arial" w:hAnsi="Arial" w:eastAsia="Arial"/>
      <w:b/>
      <w:bCs/>
      <w:color w:val="102449"/>
      <w:sz w:val="26"/>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Arial" w:hAnsi="Arial" w:eastAsia="Arial"/>
      <w:b/>
      <w:bCs/>
      <w:color w:val="1E3A8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160"/>
      <w:contextualSpacing/>
    </w:pPr>
    <w:rPr>
      <w:rFonts w:asciiTheme="majorHAnsi" w:eastAsiaTheme="majorEastAsia" w:hAnsiTheme="majorHAnsi" w:cstheme="majorBidi" w:ascii="Arial" w:hAnsi="Arial" w:eastAsia="Arial"/>
      <w:b/>
      <w:color w:val="102449"/>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KNote">
    <w:name w:val="BK Note"/>
    <w:pPr>
      <w:spacing w:before="80" w:after="80"/>
      <w:ind w:left="227" w:right="227"/>
    </w:pPr>
    <w:rPr>
      <w:rFonts w:ascii="Arial" w:hAnsi="Arial"/>
      <w:color w:val="475569"/>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mevzuat.gov.tr/mevzuatmetin/1.5.6098.pdf" TargetMode="External"/><Relationship Id="rId12" Type="http://schemas.openxmlformats.org/officeDocument/2006/relationships/hyperlink" Target="https://www.mevzuat.gov.tr/mevzuatmetin/1.5.6325.pdf" TargetMode="External"/><Relationship Id="rId13" Type="http://schemas.openxmlformats.org/officeDocument/2006/relationships/hyperlink" Target="https://halilbakirci.av.tr/kira-tespit-davasi/" TargetMode="External"/><Relationship Id="rId14" Type="http://schemas.openxmlformats.org/officeDocument/2006/relationships/hyperlink" Target="https://halilbakirci.av.tr/kira-uyusmazliklarinda-arabuluculuk/" TargetMode="External"/><Relationship Id="rId15" Type="http://schemas.openxmlformats.org/officeDocument/2006/relationships/hyperlink" Target="https://halilbakirci.av.tr/kira-sozlesmesi-nasil-yapilir/" TargetMode="External"/><Relationship Id="rId16" Type="http://schemas.openxmlformats.org/officeDocument/2006/relationships/hyperlink" Target="https://halilbakirci.av.tr/kira-uyarlama-davasi/" TargetMode="External"/><Relationship Id="rId17" Type="http://schemas.openxmlformats.org/officeDocument/2006/relationships/hyperlink" Target="https://halilbakirci.av.tr/iletisim/" TargetMode="External"/><Relationship Id="rId18" Type="http://schemas.openxmlformats.org/officeDocument/2006/relationships/hyperlink" Target="https://halilbakirci.av.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Kira Bedelinin Tespiti Dava Dilekçesi Örneği</dc:title>
  <dc:subject>kira tespit dava dilekçesi</dc:subject>
  <dc:creator>Av. Halil Bakırcı</dc:creator>
  <cp:keywords>kira tespit dava dilekçesi, dilekçe örneği, Word indir, Kira Hukuku</cp:keywords>
  <dc:description>generated by python-docx</dc:description>
  <cp:lastModifiedBy/>
  <cp:revision>1</cp:revision>
  <dcterms:created xsi:type="dcterms:W3CDTF">2013-12-23T23:15:00Z</dcterms:created>
  <dcterms:modified xsi:type="dcterms:W3CDTF">2013-12-23T23:15:00Z</dcterms:modified>
  <cp:category/>
</cp:coreProperties>
</file>