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rial" w:hAnsi="Arial"/>
          <w:b/>
          <w:color w:val="102449"/>
          <w:sz w:val="30"/>
        </w:rPr>
        <w:t>AŞIRI İFA GÜÇLÜĞÜ NEDENIYLE KIRA UYARLAMA DAVASI DILEKÇESI</w:t>
      </w:r>
    </w:p>
    <w:p>
      <w:pPr>
        <w:jc w:val="center"/>
      </w:pPr>
      <w:r>
        <w:rPr>
          <w:b/>
          <w:color w:val="C9A24D"/>
          <w:sz w:val="17"/>
        </w:rPr>
        <w:t>DÜZENLENEBİLİR WORD ŞABLONU • HUKUK KONTROLÜ: 2 Eylül 2026</w:t>
      </w:r>
    </w:p>
    <w:p>
      <w:pPr>
        <w:jc w:val="center"/>
      </w:pPr>
      <w:r>
        <w:rPr>
          <w:b/>
          <w:sz w:val="23"/>
        </w:rPr>
        <w:t>KIRALANANIN BULUNDUĞU YER SULH HUKUK MAHKEMESI. SAYIN HÂKİMLİĞİNE / MAKAMINA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6803"/>
      </w:tblGrid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DAVACI/KİRAYA VEREN veya KİRACI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[AD SOYAD / T.C. KİMLİK NO / ADRES]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DAVALI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[AD SOYAD veya UNVAN / T.C.-VKN / ADRES]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VEKİLİ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[VARSA AVUKAT ADI, BARO-SİCİL, ADRES]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DOSYA NO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[ESAS / İCRA / SORUŞTURMA / KARAR NUMARASI]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KONU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TBK m.138 uyarınca kira sözleşmesinin değişen koşullara uyarlanması istemidir.</w:t>
            </w:r>
          </w:p>
        </w:tc>
      </w:tr>
    </w:tbl>
    <w:p>
      <w:pPr>
        <w:pStyle w:val="Heading1"/>
      </w:pPr>
      <w:r>
        <w:t>AÇIKLAMALAR</w:t>
      </w:r>
    </w:p>
    <w:p>
      <w:pPr/>
      <w:r>
        <w:rPr>
          <w:b/>
        </w:rPr>
        <w:t xml:space="preserve">1. </w:t>
      </w:r>
      <w:r>
        <w:t>Bu başvuru tBK m.138, sözleşme kurulurken öngörülemeyen olağanüstü durum borçludan kaynaklanmadan edimi aşırı güçleştirirse sözleşmenin yeni koşullara uyarlanmasını sağlar. Uyarlama, sıradan piyasa değişikliğini değil sözleşme dengesini temelinden bozan olguyu gerektirir.</w:t>
      </w:r>
    </w:p>
    <w:p>
      <w:pPr/>
      <w:r>
        <w:rPr>
          <w:b/>
        </w:rPr>
        <w:t xml:space="preserve">2. </w:t>
      </w:r>
      <w:r>
        <w:t>Sözleşme [TARİH] tarihinde [SÜRE/BEDEL] koşullarıyla kuruldu.</w:t>
      </w:r>
    </w:p>
    <w:p>
      <w:pPr/>
      <w:r>
        <w:rPr>
          <w:b/>
        </w:rPr>
        <w:t xml:space="preserve">3. </w:t>
      </w:r>
      <w:r>
        <w:t>Sözleşmeden sonra [OLAĞANÜSTÜ OLAY] gerçekleşti ve olay tarafça öngörülemez/önlenemez niteliktedir.</w:t>
      </w:r>
    </w:p>
    <w:p>
      <w:pPr/>
      <w:r>
        <w:rPr>
          <w:b/>
        </w:rPr>
        <w:t xml:space="preserve">4. </w:t>
      </w:r>
      <w:r>
        <w:t>Bu gelişme edimler arasında [MALİ VERİLER] ile kanıtlanan ağır dengesizlik doğurdu.</w:t>
      </w:r>
    </w:p>
    <w:p>
      <w:pPr/>
      <w:r>
        <w:rPr>
          <w:b/>
        </w:rPr>
        <w:t xml:space="preserve">5. </w:t>
      </w:r>
      <w:r>
        <w:t>Davacı edimini ihtirazi kayıtla yerine getirdi/getirmeden önce uyarlama talebini bildirdi.</w:t>
      </w:r>
    </w:p>
    <w:p>
      <w:pPr/>
      <w:r>
        <w:rPr>
          <w:b/>
        </w:rPr>
        <w:t xml:space="preserve">6. </w:t>
      </w:r>
      <w:r>
        <w:t>Aşağıdaki kanuni düzenlemeler somut olaya doğrudan uygulanır:</w:t>
      </w:r>
    </w:p>
    <w:p>
      <w:pPr>
        <w:ind w:left="312"/>
      </w:pPr>
      <w:r>
        <w:rPr>
          <w:b/>
          <w:color w:val="1E3A8A"/>
        </w:rPr>
        <w:t xml:space="preserve">TBK m.138: </w:t>
      </w:r>
      <w:r>
        <w:t>Öngörülemeyen ve borçludan kaynaklanmayan olağanüstü durum edimi aşırı güçleştirirse borçlu hâkimden uyarlama; mümkün olmazsa dönme/fesih isteyebilir.</w:t>
      </w:r>
    </w:p>
    <w:p>
      <w:pPr>
        <w:ind w:left="312"/>
      </w:pPr>
      <w:r>
        <w:rPr>
          <w:b/>
          <w:color w:val="1E3A8A"/>
        </w:rPr>
        <w:t xml:space="preserve">TBK m.344: </w:t>
      </w:r>
      <w:r>
        <w:t>Kira bedelinin olağan artış rejimi düzenlenir; uyarlama talebi bundan farklı olağanüstü koşullara dayanır.</w:t>
      </w:r>
    </w:p>
    <w:p>
      <w:pPr>
        <w:ind w:left="312"/>
      </w:pPr>
      <w:r>
        <w:rPr>
          <w:b/>
          <w:color w:val="1E3A8A"/>
        </w:rPr>
        <w:t xml:space="preserve">TMK m.2: </w:t>
      </w:r>
      <w:r>
        <w:t>Dürüstlük kuralı ve hakkın kötüye kullanılması yasağı uygulanır.</w:t>
      </w:r>
    </w:p>
    <w:p>
      <w:pPr>
        <w:ind w:left="312"/>
      </w:pPr>
      <w:r>
        <w:rPr>
          <w:b/>
          <w:color w:val="1E3A8A"/>
        </w:rPr>
        <w:t xml:space="preserve">6325 sayılı Kanun m.18/B: </w:t>
      </w:r>
      <w:r>
        <w:t>Kira uyuşmazlıklarında arabuluculuk dava şartıdır.</w:t>
      </w:r>
    </w:p>
    <w:p>
      <w:pPr>
        <w:pStyle w:val="Heading1"/>
      </w:pPr>
      <w:r>
        <w:t>HUKUKİ NEDENLER</w:t>
      </w:r>
    </w:p>
    <w:p>
      <w:r>
        <w:t>TBK m.138, TBK m.344, TMK m.2, 6325 sayılı Kanun m.18/B ve ilgili diğer mevzuat.</w:t>
      </w:r>
    </w:p>
    <w:p>
      <w:pPr>
        <w:pStyle w:val="Heading1"/>
      </w:pPr>
      <w:r>
        <w:t>DELİLLER</w:t>
      </w:r>
    </w:p>
    <w:p>
      <w:pPr/>
      <w:r>
        <w:rPr>
          <w:b/>
        </w:rPr>
        <w:t xml:space="preserve">1. </w:t>
      </w:r>
      <w:r>
        <w:t>Kira sözleşmesi</w:t>
      </w:r>
    </w:p>
    <w:p>
      <w:pPr/>
      <w:r>
        <w:rPr>
          <w:b/>
        </w:rPr>
        <w:t xml:space="preserve">2. </w:t>
      </w:r>
      <w:r>
        <w:t>Arabuluculuk son tutanağı</w:t>
      </w:r>
    </w:p>
    <w:p>
      <w:pPr/>
      <w:r>
        <w:rPr>
          <w:b/>
        </w:rPr>
        <w:t xml:space="preserve">3. </w:t>
      </w:r>
      <w:r>
        <w:t>Mali tablolar, ciro/gider kayıtları</w:t>
      </w:r>
    </w:p>
    <w:p>
      <w:pPr/>
      <w:r>
        <w:rPr>
          <w:b/>
        </w:rPr>
        <w:t xml:space="preserve">4. </w:t>
      </w:r>
      <w:r>
        <w:t>Resmî endeks ve sektör verileri</w:t>
      </w:r>
    </w:p>
    <w:p>
      <w:pPr/>
      <w:r>
        <w:rPr>
          <w:b/>
        </w:rPr>
        <w:t xml:space="preserve">5. </w:t>
      </w:r>
      <w:r>
        <w:t>Emsal sözleşmeler ve bilirkişi</w:t>
      </w:r>
    </w:p>
    <w:p>
      <w:pPr/>
      <w:r>
        <w:t>Karşı tarafın ve ilgili kurumların elindeki kayıtların celbi ile hukuka uygun her türlü delil.</w:t>
      </w:r>
    </w:p>
    <w:p>
      <w:pPr>
        <w:pStyle w:val="Heading1"/>
      </w:pPr>
      <w:r>
        <w:t>SONUÇ VE İSTEM</w:t>
      </w:r>
    </w:p>
    <w:p>
      <w:r>
        <w:t>Yukarıda açıklanan nedenlerle;</w:t>
      </w:r>
    </w:p>
    <w:p>
      <w:pPr>
        <w:ind w:left="283"/>
      </w:pPr>
      <w:r>
        <w:rPr>
          <w:b/>
        </w:rPr>
        <w:t xml:space="preserve">1. </w:t>
      </w:r>
      <w:r>
        <w:t>Kira bedeli veya ilgili sözleşme hükmünün dava tarihinden itibaren hakkaniyete uygun uyarlanması,</w:t>
      </w:r>
    </w:p>
    <w:p>
      <w:pPr>
        <w:ind w:left="283"/>
      </w:pPr>
      <w:r>
        <w:rPr>
          <w:b/>
        </w:rPr>
        <w:t xml:space="preserve">2. </w:t>
      </w:r>
      <w:r>
        <w:t>Uyarlama mümkün görülmezse kanuni ikincil talebin değerlendirilmesi,</w:t>
      </w:r>
    </w:p>
    <w:p>
      <w:pPr>
        <w:jc w:val="right"/>
      </w:pPr>
      <w:r>
        <w:t>karar verilmesini saygıyla arz ve talep ederim. [TARİH]</w:t>
      </w:r>
    </w:p>
    <w:p>
      <w:pPr>
        <w:jc w:val="right"/>
      </w:pPr>
      <w:r>
        <w:rPr>
          <w:b/>
        </w:rPr>
        <w:t>DAVACI/KİRAYA VEREN veya KİRACI</w:t>
        <w:br/>
        <w:t>[AD SOYAD]</w:t>
        <w:br/>
        <w:t>İmza / (E-İMZALIDIR)</w:t>
      </w:r>
    </w:p>
    <w:p>
      <w:pPr>
        <w:pStyle w:val="Heading1"/>
      </w:pPr>
      <w:r>
        <w:t>EKLER</w:t>
      </w:r>
    </w:p>
    <w:p>
      <w:pPr/>
      <w:r>
        <w:t>1. Kira sözleşmesi</w:t>
      </w:r>
    </w:p>
    <w:p>
      <w:pPr/>
      <w:r>
        <w:t>2. Arabuluculuk son tutanağı</w:t>
      </w:r>
    </w:p>
    <w:p>
      <w:pPr/>
      <w:r>
        <w:t>3. Mali tablolar, ciro/gider kayıtları</w:t>
      </w:r>
    </w:p>
    <w:p>
      <w:pPr/>
      <w:r>
        <w:t>4. Resmî endeks ve sektör verileri</w:t>
      </w:r>
    </w:p>
    <w:p>
      <w:pPr/>
      <w:r>
        <w:t>5. Emsal sözleşmeler ve bilirkişi</w:t>
      </w:r>
    </w:p>
    <w:p>
      <w:r>
        <w:br w:type="page"/>
      </w:r>
    </w:p>
    <w:p>
      <w:pPr>
        <w:jc w:val="center"/>
      </w:pPr>
      <w:r>
        <w:rPr>
          <w:b/>
          <w:color w:val="102449"/>
          <w:sz w:val="28"/>
        </w:rPr>
        <w:t>DOLDURMA VE DOSYALAMA KONTROLÜ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6803"/>
      </w:tblGrid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GÖREVLİ/YETKİLİ MERCİ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Kiralananın bulunduğu yer Sulh Hukuk Mahkemesi.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SÜRE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Özel bir hak düşürücü süre yoktur; olağanüstü değişiklik öğrenildiğinde ve edimler arasındaki dengesizlik sürerken gecikmeden başvurulur.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DAVA/BAŞVURU ŞARTI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Zorunlu arabuluculuk tamamlanır. Sözleşmeden sonra ortaya çıkan, öngörülemeyen ve borçludan kaynaklanmayan olağanüstü olgu ile ağır dengesizlik belgelenir.</w:t>
            </w:r>
          </w:p>
        </w:tc>
      </w:tr>
    </w:tbl>
    <w:p>
      <w:pPr>
        <w:pStyle w:val="Heading2"/>
      </w:pPr>
      <w:r>
        <w:t>Dilekçeye eklenmesi gereken somut bilgiler</w:t>
      </w:r>
    </w:p>
    <w:p>
      <w:pPr/>
      <w:r>
        <w:t>Sözleşme □ [TARİH] tarihinde [SÜRE/BEDEL] koşullarıyla kuruldu.</w:t>
      </w:r>
    </w:p>
    <w:p>
      <w:pPr/>
      <w:r>
        <w:t>Sözleşmeden sonra □ [OLAĞANÜSTÜ OLAY] gerçekleşti ve olay tarafça öngörülemez/önlenemez niteliktedir.</w:t>
      </w:r>
    </w:p>
    <w:p>
      <w:pPr/>
      <w:r>
        <w:t>Bu gelişme edimler arasında □ [MALİ VERİLER] ile kanıtlanan ağır dengesizlik doğurdu.</w:t>
      </w:r>
    </w:p>
    <w:p>
      <w:pPr/>
      <w:r>
        <w:t>Davacı edimini ihtirazi kayıtla yerine getirdi/getirmeden önce uyarlama talebini bildirdi.</w:t>
      </w:r>
    </w:p>
    <w:p>
      <w:pPr>
        <w:pStyle w:val="Heading2"/>
      </w:pPr>
      <w:r>
        <w:t>Başvuru öncesi kritik kontroller</w:t>
      </w:r>
    </w:p>
    <w:p>
      <w:pPr/>
      <w:r>
        <w:t>□ Yalnız enflasyon oranını yazmak yerine sözleşmeye özgü ağır dengesizliği hesaplayın.</w:t>
      </w:r>
    </w:p>
    <w:p>
      <w:pPr/>
      <w:r>
        <w:t>□ Edim ifa edilmişse ihtirazi kayıt ve ödeme davranışını açıklayın.</w:t>
      </w:r>
    </w:p>
    <w:p>
      <w:pPr/>
      <w:r>
        <w:t>□ Tespit davası ölçütleriyle uyarlama koşullarını birbirine karıştırmayın.</w:t>
      </w:r>
    </w:p>
    <w:p>
      <w:pPr>
        <w:pStyle w:val="Heading2"/>
      </w:pPr>
      <w:r>
        <w:t>Resmî mevzuat bağlantıları</w:t>
      </w:r>
    </w:p>
    <w:p>
      <w:hyperlink r:id="rId11">
        <w:r>
          <w:rPr>
            <w:color w:val="1e3a8a"/>
            <w:u w:val="single"/>
          </w:rPr>
          <w:t>TBK güncel metni</w:t>
        </w:r>
      </w:hyperlink>
    </w:p>
    <w:p>
      <w:hyperlink r:id="rId12">
        <w:r>
          <w:rPr>
            <w:color w:val="1e3a8a"/>
            <w:u w:val="single"/>
          </w:rPr>
          <w:t>TMK güncel metni</w:t>
        </w:r>
      </w:hyperlink>
    </w:p>
    <w:p>
      <w:hyperlink r:id="rId13">
        <w:r>
          <w:rPr>
            <w:color w:val="1e3a8a"/>
            <w:u w:val="single"/>
          </w:rPr>
          <w:t>6325 güncel metni</w:t>
        </w:r>
      </w:hyperlink>
    </w:p>
    <w:p>
      <w:pPr>
        <w:pStyle w:val="Heading2"/>
      </w:pPr>
      <w:r>
        <w:t>İlgili hukuk rehberleri</w:t>
      </w:r>
    </w:p>
    <w:p>
      <w:hyperlink r:id="rId14">
        <w:r>
          <w:rPr>
            <w:color w:val="1e3a8a"/>
            <w:u w:val="single"/>
          </w:rPr>
          <w:t>Kira uyarlama davası</w:t>
        </w:r>
      </w:hyperlink>
    </w:p>
    <w:p>
      <w:hyperlink r:id="rId15">
        <w:r>
          <w:rPr>
            <w:color w:val="1e3a8a"/>
            <w:u w:val="single"/>
          </w:rPr>
          <w:t>Kira tespit davası</w:t>
        </w:r>
      </w:hyperlink>
    </w:p>
    <w:p>
      <w:hyperlink r:id="rId16">
        <w:r>
          <w:rPr>
            <w:color w:val="1e3a8a"/>
            <w:u w:val="single"/>
          </w:rPr>
          <w:t>Kira uyuşmazlıklarında arabuluculuk</w:t>
        </w:r>
      </w:hyperlink>
    </w:p>
    <w:p>
      <w:hyperlink r:id="rId17">
        <w:r>
          <w:rPr>
            <w:color w:val="1e3a8a"/>
            <w:u w:val="single"/>
          </w:rPr>
          <w:t>Kira sözleşmesi nasıl yapılır?</w:t>
        </w:r>
      </w:hyperlink>
    </w:p>
    <w:p>
      <w:hyperlink r:id="rId18">
        <w:r>
          <w:rPr>
            <w:color w:val="1e3a8a"/>
            <w:u w:val="single"/>
          </w:rPr>
          <w:t>Randevu ve iletişim</w:t>
        </w:r>
      </w:hyperlink>
    </w:p>
    <w:p>
      <w:pPr>
        <w:pStyle w:val="BKNote"/>
      </w:pPr>
      <w:r>
        <w:rPr>
          <w:b/>
        </w:rPr>
        <w:t xml:space="preserve">Kullanım notu: </w:t>
      </w:r>
      <w:r>
        <w:t>Köşeli parantezli alanları dosyanıza göre doldurun; seçenekli taleplerden yalnız somut olaya uyanları bırakın. Bu kontrol sayfasını mahkemeye/kuruma sunmadan önce dilekçeden ayırın. Süre, görev, yetki ve dava şartı dosyanın özelliklerine göre son kez doğrulanmalıdır.</w:t>
      </w:r>
    </w:p>
    <w:p>
      <w:pPr>
        <w:jc w:val="center"/>
      </w:pPr>
      <w:hyperlink r:id="rId19">
        <w:r>
          <w:rPr>
            <w:color w:val="1e3a8a"/>
            <w:u w:val="single"/>
          </w:rPr>
          <w:t>halilbakirci.av.tr – Av. Halil Bakırcı</w:t>
        </w:r>
      </w:hyperlink>
    </w:p>
    <w:sectPr w:rsidR="00FC693F" w:rsidRPr="0006063C" w:rsidSect="00034616">
      <w:headerReference w:type="default" r:id="rId9"/>
      <w:footerReference w:type="default" r:id="rId10"/>
      <w:pgSz w:w="12240" w:h="15840"/>
      <w:pgMar w:top="964" w:right="1134" w:bottom="907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64748B"/>
        <w:sz w:val="15"/>
      </w:rPr>
      <w:t>İhsaniye Mahallesi, 4903. Sokak, Profit İş Merkezi No:23, Kat:3, Daire:14, 33070 Akdeniz/Mersin, Türkiye  •  +90 552 224 43 66</w:t>
    </w:r>
  </w:p>
  <w:p>
    <w:pPr>
      <w:jc w:val="center"/>
    </w:pPr>
    <w:r>
      <w:rPr>
        <w:rFonts w:ascii="Arial" w:hAnsi="Arial"/>
        <w:color w:val="64748B"/>
        <w:sz w:val="15"/>
      </w:rPr>
      <w:t xml:space="preserve">Sayfa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/>
        <w:b/>
        <w:color w:val="1E3A8A"/>
        <w:sz w:val="17"/>
      </w:rPr>
      <w:t>BAKIRCI &amp; KESKİN HUKUK BÜROSU  •  HALILBAKIRCI.AV.TR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 w:eastAsia="Arial"/>
      <w:color w:val="172033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10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102449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10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1E3A8A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00" w:line="240" w:lineRule="auto" w:before="160"/>
      <w:contextualSpacing/>
    </w:pPr>
    <w:rPr>
      <w:rFonts w:asciiTheme="majorHAnsi" w:eastAsiaTheme="majorEastAsia" w:hAnsiTheme="majorHAnsi" w:cstheme="majorBidi" w:ascii="Arial" w:hAnsi="Arial" w:eastAsia="Arial"/>
      <w:b/>
      <w:color w:val="102449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BKNote">
    <w:name w:val="BK Note"/>
    <w:pPr>
      <w:spacing w:before="80" w:after="80"/>
      <w:ind w:left="227" w:right="227"/>
    </w:pPr>
    <w:rPr>
      <w:rFonts w:ascii="Arial" w:hAnsi="Arial"/>
      <w:color w:val="475569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www.mevzuat.gov.tr/mevzuatmetin/1.5.6098.pdf" TargetMode="External"/><Relationship Id="rId12" Type="http://schemas.openxmlformats.org/officeDocument/2006/relationships/hyperlink" Target="https://www.mevzuat.gov.tr/mevzuatmetin/1.5.4721.pdf" TargetMode="External"/><Relationship Id="rId13" Type="http://schemas.openxmlformats.org/officeDocument/2006/relationships/hyperlink" Target="https://www.mevzuat.gov.tr/mevzuatmetin/1.5.6325.pdf" TargetMode="External"/><Relationship Id="rId14" Type="http://schemas.openxmlformats.org/officeDocument/2006/relationships/hyperlink" Target="https://halilbakirci.av.tr/kira-uyarlama-davasi/" TargetMode="External"/><Relationship Id="rId15" Type="http://schemas.openxmlformats.org/officeDocument/2006/relationships/hyperlink" Target="https://halilbakirci.av.tr/kira-tespit-davasi/" TargetMode="External"/><Relationship Id="rId16" Type="http://schemas.openxmlformats.org/officeDocument/2006/relationships/hyperlink" Target="https://halilbakirci.av.tr/kira-uyusmazliklarinda-arabuluculuk/" TargetMode="External"/><Relationship Id="rId17" Type="http://schemas.openxmlformats.org/officeDocument/2006/relationships/hyperlink" Target="https://halilbakirci.av.tr/kira-sozlesmesi-nasil-yapilir/" TargetMode="External"/><Relationship Id="rId18" Type="http://schemas.openxmlformats.org/officeDocument/2006/relationships/hyperlink" Target="https://halilbakirci.av.tr/iletisim/" TargetMode="External"/><Relationship Id="rId19" Type="http://schemas.openxmlformats.org/officeDocument/2006/relationships/hyperlink" Target="https://halilbakirci.av.t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Aşırı İfa Güçlüğü Nedeniyle Kira Uyarlama Davası Dilekçesi</dc:title>
  <dc:subject>kira uyarlama dava dilekçesi</dc:subject>
  <dc:creator>Av. Halil Bakırcı</dc:creator>
  <cp:keywords>kira uyarlama dava dilekçesi, dilekçe örneği, Word indir, Kira Hukuku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