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KREDI KARTI HARCAMASINA İTIRAZ – TÜKETICI DAVASI DILEKÇESI</w:t>
      </w:r>
    </w:p>
    <w:p>
      <w:pPr>
        <w:jc w:val="center"/>
        <w:spacing w:before="120" w:after="220" w:line="276" w:lineRule="auto"/>
      </w:pPr>
      <w:r>
        <w:rPr>
          <w:rFonts w:ascii="Times New Roman" w:hAnsi="Times New Roman" w:eastAsia="Times New Roman"/>
          <w:b/>
          <w:sz w:val="25"/>
          <w:szCs w:val="25"/>
        </w:rPr>
        <w:t xml:space="preserve">[YETKİLİ YER] NÖBETÇİ TÜKETİCİ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[KART HAMİLİ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[BANKA / HİZMET SAĞLAYICI – SOMUT UYUŞMAZLIĞA GÖRE]</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Davacının onayı dışında gerçekleştirilen kredi kartı işlemlerinden doğan borcun bulunmadığının tespiti, tahsil edilen tutarın iadesi ve hesap kayıtlarının düzeltilmesi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Dava şartı arabuluculuk, tüketici hakem heyeti parasal görev sınırı ve bankaya yapılan harcama itirazı başvurusu dava tarihindeki güncel mevzuata göre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Davacıya ait [SON DÖRT HANE] numaralı kredi kartından [TARİH] tarihinde [TUTAR] TL tutarında [İŞYERİ/ONLINE PLATFORM] işlemi yapılmıştır. Davacı bu işlemi gerçekleştirmemiş, onaylamamış ve mal/hizmet teslim almamıştır.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İşlemin öğrenilmesinin hemen ardından banka çağrı merkezi ve yazılı kanallar üzerinden kart kapatılmış, harcama itirazı başlatılmış ve olayın kayıt altına alınması istenmiştir. Başvuru numaraları ve banka cevapları dosyaya sunulmaktadır.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İşlemin doğrulama yöntemi, 3D Secure/OTP kaydı, cihaz ve IP bilgisi, işlem işyeri kayıtları ve teslimat adresi davacıyla eşleşmiyorsa bu hususlar teknik kayıtlarla belirlenmelidir. Bankanın işlem güvenliği ve itiraz inceleme kayıtlarının celbi gerekmektedir.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Davacıdan tahsil edilen veya borç hanesine yazılan tutarın hukuki dayanağı bulunmadığından hesap düzeltmesi ve varsa tahsilatın iadesi istenmektedir. Faiz ve ferî talepler, ödeme/tahsil tarihleri esas alınarak ayrıca hesaplanmalıdır.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Tüketici uyuşmazlığında öncelikle işlemin tüketici işlemi niteliği, taraf sıfatları ve uyuşmazlık tutarı belirlenmelidir. Hakem heyeti görev sınırı ile dava şartı arabuluculuk, dava tarihindeki güncel düzenlemeye göre kontrol edilmeden doğrudan mahkemeye başvurulmamalıdır.</w:t>
      </w:r>
    </w:p>
    <w:p>
      <w:pPr>
        <w:jc w:val="both"/>
        <w:spacing w:before="0" w:after="130" w:line="276" w:lineRule="auto"/>
        <w:ind w:firstLine="360"/>
      </w:pPr>
      <w:r>
        <w:rPr>
          <w:rFonts w:ascii="Times New Roman" w:hAnsi="Times New Roman" w:eastAsia="Times New Roman"/>
          <w:sz w:val="23"/>
          <w:szCs w:val="23"/>
        </w:rPr>
        <w:t xml:space="preserve">6. Sözleşme, fatura, ödeme ve servis/başvuru kayıtları zaman çizelgesine bağlanmalıdır. Tüketicinin hangi seçimlik hakkı kullandığı açıkça belirtilmeli ve birbirini dışlayan talepler aynı anda sonuç bölümüne yazılmamalıdır.</w:t>
      </w:r>
    </w:p>
    <w:p>
      <w:pPr>
        <w:jc w:val="both"/>
        <w:spacing w:before="0" w:after="130" w:line="276" w:lineRule="auto"/>
        <w:ind w:firstLine="360"/>
      </w:pPr>
      <w:r>
        <w:rPr>
          <w:rFonts w:ascii="Times New Roman" w:hAnsi="Times New Roman" w:eastAsia="Times New Roman"/>
          <w:sz w:val="23"/>
          <w:szCs w:val="23"/>
        </w:rPr>
        <w:t xml:space="preserve">7. Teknik uyuşmazlıklarda ürün veya hizmetteki ayıp, uyuşmazlığın niteliğine göre bilirkişi incelemesiyle belirlenir. Satıcı, sağlayıcı, üretici, ithalatçı ve banka gibi olası sorumluların hangi talep bakımından davalı gösterildiği somut mevzuata göre ayrıştırılmalıdır.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TÜKETİCİ MAHKEMESİ SAYIN HÂKİMLİĞİNE hitabıyla kurulmuştur. Somut dosyanın yetkili yeri, taraf sıfatı, dava şartı ve ön başvuru koşulları dosya belgeleri üzerinden ayrıca kontrol edilmelidir. Dava şartı arabuluculuk, tüketici hakem heyeti parasal görev sınırı ve bankaya yapılan harcama itirazı başvurusu dava tarihindeki güncel mevzuata göre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Kredi kartı ekstreleri, Harcama itirazı başvurusu ve banka cevapları, OTP/3D Secure ve cihaz/IP kayıtları, İşyeri ve teslimat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Kredi Kartı Harcamasına İtiraz – Tüketici Davası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işlem nedeniyle davacının borçlu olmadığının tespitine; Tahsil edilen tutarın yasal faiziyle iadesine; Bankadaki olumsuz hesap/kredi kayıtlarının düzeltilmesine.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kredi kartı harcamasına i̇tiraz – tüketici davası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5464 sayılı Banka Kartları ve Kredi Kartları Kanunu, 6502 sayılı Tüketicinin Korunması Hakkında Kanun, 6098 sayılı Türk Borçlar Kanunu, 6100 sayılı HMK ve ilgili ödeme hizmetleri mevzuatı.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Kredi kartı ekstreleri</w:t>
      </w:r>
    </w:p>
    <w:p>
      <w:pPr>
        <w:jc w:val="left"/>
        <w:spacing w:before="0" w:after="60" w:line="276" w:lineRule="auto"/>
      </w:pPr>
      <w:r>
        <w:rPr>
          <w:rFonts w:ascii="Times New Roman" w:hAnsi="Times New Roman" w:eastAsia="Times New Roman"/>
          <w:sz w:val="23"/>
          <w:szCs w:val="23"/>
        </w:rPr>
        <w:t xml:space="preserve">2. Harcama itirazı başvurusu ve banka cevapları</w:t>
      </w:r>
    </w:p>
    <w:p>
      <w:pPr>
        <w:jc w:val="left"/>
        <w:spacing w:before="0" w:after="60" w:line="276" w:lineRule="auto"/>
      </w:pPr>
      <w:r>
        <w:rPr>
          <w:rFonts w:ascii="Times New Roman" w:hAnsi="Times New Roman" w:eastAsia="Times New Roman"/>
          <w:sz w:val="23"/>
          <w:szCs w:val="23"/>
        </w:rPr>
        <w:t xml:space="preserve">3. OTP/3D Secure ve cihaz/IP kayıtları</w:t>
      </w:r>
    </w:p>
    <w:p>
      <w:pPr>
        <w:jc w:val="left"/>
        <w:spacing w:before="0" w:after="60" w:line="276" w:lineRule="auto"/>
      </w:pPr>
      <w:r>
        <w:rPr>
          <w:rFonts w:ascii="Times New Roman" w:hAnsi="Times New Roman" w:eastAsia="Times New Roman"/>
          <w:sz w:val="23"/>
          <w:szCs w:val="23"/>
        </w:rPr>
        <w:t xml:space="preserve">4. İşyeri ve teslimat kayıtları</w:t>
      </w:r>
    </w:p>
    <w:p>
      <w:pPr>
        <w:jc w:val="left"/>
        <w:spacing w:before="0" w:after="60" w:line="276" w:lineRule="auto"/>
      </w:pPr>
      <w:r>
        <w:rPr>
          <w:rFonts w:ascii="Times New Roman" w:hAnsi="Times New Roman" w:eastAsia="Times New Roman"/>
          <w:sz w:val="23"/>
          <w:szCs w:val="23"/>
        </w:rPr>
        <w:t xml:space="preserve">5. Savcılık başvurusu varsa dosyası</w:t>
      </w:r>
    </w:p>
    <w:p>
      <w:pPr>
        <w:jc w:val="left"/>
        <w:spacing w:before="0" w:after="60" w:line="276" w:lineRule="auto"/>
      </w:pPr>
      <w:r>
        <w:rPr>
          <w:rFonts w:ascii="Times New Roman" w:hAnsi="Times New Roman" w:eastAsia="Times New Roman"/>
          <w:sz w:val="23"/>
          <w:szCs w:val="23"/>
        </w:rPr>
        <w:t xml:space="preserve">6. Bilirkişi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işlem nedeniyle davacının borçlu olmadığının tespitine,</w:t>
      </w:r>
    </w:p>
    <w:p>
      <w:pPr>
        <w:jc w:val="both"/>
        <w:spacing w:before="0" w:after="60" w:line="276" w:lineRule="auto"/>
      </w:pPr>
      <w:r>
        <w:rPr>
          <w:rFonts w:ascii="Times New Roman" w:hAnsi="Times New Roman" w:eastAsia="Times New Roman"/>
          <w:sz w:val="23"/>
          <w:szCs w:val="23"/>
        </w:rPr>
        <w:t xml:space="preserve">2. Tahsil edilen tutarın yasal faiziyle iadesine,</w:t>
      </w:r>
    </w:p>
    <w:p>
      <w:pPr>
        <w:jc w:val="both"/>
        <w:spacing w:before="0" w:after="60" w:line="276" w:lineRule="auto"/>
      </w:pPr>
      <w:r>
        <w:rPr>
          <w:rFonts w:ascii="Times New Roman" w:hAnsi="Times New Roman" w:eastAsia="Times New Roman"/>
          <w:sz w:val="23"/>
          <w:szCs w:val="23"/>
        </w:rPr>
        <w:t xml:space="preserve">3. Bankadaki olumsuz hesap/kredi kayıtlarının düzeltilmesine,</w:t>
      </w:r>
    </w:p>
    <w:p>
      <w:pPr>
        <w:jc w:val="both"/>
        <w:spacing w:before="0" w:after="60" w:line="276" w:lineRule="auto"/>
      </w:pPr>
      <w:r>
        <w:rPr>
          <w:rFonts w:ascii="Times New Roman" w:hAnsi="Times New Roman" w:eastAsia="Times New Roman"/>
          <w:sz w:val="23"/>
          <w:szCs w:val="23"/>
        </w:rPr>
        <w:t xml:space="preserve">4. İşlem doğrulama kayıtlarının bankadan celbine ve gerektiğinde bilirkişi incelemesine,</w:t>
      </w:r>
    </w:p>
    <w:p>
      <w:pPr>
        <w:jc w:val="both"/>
        <w:spacing w:before="0" w:after="60" w:line="276" w:lineRule="auto"/>
      </w:pPr>
      <w:r>
        <w:rPr>
          <w:rFonts w:ascii="Times New Roman" w:hAnsi="Times New Roman" w:eastAsia="Times New Roman"/>
          <w:sz w:val="23"/>
          <w:szCs w:val="23"/>
        </w:rPr>
        <w:t xml:space="preserve">5. Yargılama giderleri ile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Kredi kartı ekstreleri</w:t>
      </w:r>
    </w:p>
    <w:p>
      <w:pPr>
        <w:jc w:val="left"/>
        <w:spacing w:before="0" w:after="50" w:line="276" w:lineRule="auto"/>
      </w:pPr>
      <w:r>
        <w:rPr>
          <w:rFonts w:ascii="Times New Roman" w:hAnsi="Times New Roman" w:eastAsia="Times New Roman"/>
          <w:sz w:val="23"/>
          <w:szCs w:val="23"/>
        </w:rPr>
        <w:t xml:space="preserve">Ek-2: Harcama itirazı başvurusu ve banka cevapları</w:t>
      </w:r>
    </w:p>
    <w:p>
      <w:pPr>
        <w:jc w:val="left"/>
        <w:spacing w:before="0" w:after="50" w:line="276" w:lineRule="auto"/>
      </w:pPr>
      <w:r>
        <w:rPr>
          <w:rFonts w:ascii="Times New Roman" w:hAnsi="Times New Roman" w:eastAsia="Times New Roman"/>
          <w:sz w:val="23"/>
          <w:szCs w:val="23"/>
        </w:rPr>
        <w:t xml:space="preserve">Ek-3: OTP/3D Secure ve cihaz/IP kayıtları</w:t>
      </w:r>
    </w:p>
    <w:p>
      <w:pPr>
        <w:jc w:val="left"/>
        <w:spacing w:before="0" w:after="50" w:line="276" w:lineRule="auto"/>
      </w:pPr>
      <w:r>
        <w:rPr>
          <w:rFonts w:ascii="Times New Roman" w:hAnsi="Times New Roman" w:eastAsia="Times New Roman"/>
          <w:sz w:val="23"/>
          <w:szCs w:val="23"/>
        </w:rPr>
        <w:t xml:space="preserve">Ek-4: İşyeri ve teslimat kayıtları</w:t>
      </w:r>
    </w:p>
    <w:p>
      <w:pPr>
        <w:jc w:val="left"/>
        <w:spacing w:before="0" w:after="50" w:line="276" w:lineRule="auto"/>
      </w:pPr>
      <w:r>
        <w:rPr>
          <w:rFonts w:ascii="Times New Roman" w:hAnsi="Times New Roman" w:eastAsia="Times New Roman"/>
          <w:sz w:val="23"/>
          <w:szCs w:val="23"/>
        </w:rPr>
        <w:t xml:space="preserve">Ek-5: Savcılık başvurusu varsa dosyası</w:t>
      </w:r>
    </w:p>
    <w:p>
      <w:pPr>
        <w:jc w:val="left"/>
        <w:spacing w:before="0" w:after="50" w:line="276" w:lineRule="auto"/>
      </w:pPr>
      <w:r>
        <w:rPr>
          <w:rFonts w:ascii="Times New Roman" w:hAnsi="Times New Roman" w:eastAsia="Times New Roman"/>
          <w:sz w:val="23"/>
          <w:szCs w:val="23"/>
        </w:rPr>
        <w:t xml:space="preserve">Ek-6: Bilirkişi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Kartı Harcamasına İtiraz – Tüketici Davası Dilekçesi</dc:title>
  <dc:subject>Profesyonel örnek dilekçe – düzenlenebilir Word belgesi</dc:subject>
  <dc:creator>Av. Halil Bakırcı</dc:creator>
  <cp:lastModifiedBy>Av. Halil Bakırcı</cp:lastModifiedBy>
  <dcterms:created xsi:type="dcterms:W3CDTF">2026-09-10T22:17:55Z</dcterms:created>
  <dcterms:modified xsi:type="dcterms:W3CDTF">2026-09-10T22:17:55Z</dcterms:modified>
</cp:coreProperties>
</file>