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MAAŞ HACZI ORANINA VEYA BIRDEN FAZLA KESINTIYE İTIRAZ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HACZI UYGULAYAN ICRA MÜDÜRLÜĞÜ; ŞIKÂYETTE ICRA HUKUK MAHKEMESI</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2026/285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Maaş Haczi Oranına veya Birden Fazla Kesintiye İtiraz Dilekçesi kapsamında yasal oranı aşan kesintinin düzeltilmesi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07.02.2026 — gerçek belge tarihini yazınız</w:t>
            </w:r>
          </w:p>
        </w:tc>
      </w:tr>
    </w:tbl>
    <w:p>
      <w:pPr>
        <w:pStyle w:val="Heading1"/>
      </w:pPr>
      <w:r>
        <w:t>AÇIKLAMALAR</w:t>
      </w:r>
    </w:p>
    <w:p>
      <w:pPr>
        <w:keepLines w:val="0"/>
        <w:ind w:firstLine="340"/>
      </w:pPr>
      <w:r>
        <w:rPr>
          <w:b/>
          <w:color w:val="1E3A8A"/>
        </w:rPr>
        <w:t xml:space="preserve">1. </w:t>
      </w:r>
      <w:r>
        <w:t>Örnek olayda Aynı maaştan eş zamanlı birden fazla dörtte bir kesinti yapılmasına itiraz edilir. Başvurucu, uyuşmazlığı 07.02.2026 tarihinde öğrenmiş; ilk yazılı başvurusunu 16.03.2026 tarihinde yapmıştır. Bu tarihler yalnız örnek olup gerçek dosyadaki tebliğ, öğrenme veya işlem tarihleriyle değiştirilmelidir.</w:t>
      </w:r>
    </w:p>
    <w:p>
      <w:pPr>
        <w:keepLines w:val="0"/>
        <w:ind w:firstLine="340"/>
      </w:pPr>
      <w:r>
        <w:rPr>
          <w:b/>
          <w:color w:val="1E3A8A"/>
        </w:rPr>
        <w:t xml:space="preserve">2. </w:t>
      </w:r>
      <w:r>
        <w:t>İcra dosyaları tarih, yer, kişi ve belge bağlantısıyla açıklanır. İcra dosyaları bakımından olayın başlangıcı, tarafların sıfatı ve işlem tarihi birlikte gösterilmiştir. Bu olgu Maaş bordrosu ile doğrulanmakta; belge Ek-1 olarak sunulmaktadır.</w:t>
      </w:r>
    </w:p>
    <w:p>
      <w:pPr>
        <w:keepLines w:val="0"/>
        <w:ind w:firstLine="340"/>
      </w:pPr>
      <w:r>
        <w:rPr>
          <w:b/>
          <w:color w:val="1E3A8A"/>
        </w:rPr>
        <w:t xml:space="preserve">3. </w:t>
      </w:r>
      <w:r>
        <w:t>Maaş ve net gelir tarih, yer, kişi ve belge bağlantısıyla açıklanır. Maaş ve net gelir yönünden yalnız sonuç belirtilmemiş, işlemin nasıl gerçekleştiği ve başvurucunun hangi hakkının etkilendiği açıklanmıştır. İcra müzekkereleri, iddiayı doğrulayan temel kayıt olarak Ek-2 numarasıyla dosyaya eklenmiştir.</w:t>
      </w:r>
    </w:p>
    <w:p>
      <w:pPr>
        <w:keepLines w:val="0"/>
        <w:ind w:firstLine="340"/>
      </w:pPr>
      <w:r>
        <w:rPr>
          <w:b/>
          <w:color w:val="1E3A8A"/>
        </w:rPr>
        <w:t xml:space="preserve">4. </w:t>
      </w:r>
      <w:r>
        <w:t>Kesinti başlangıçları tarih, yer, kişi ve belge bağlantısıyla açıklanır. Kesinti başlangıçları somutlaştırılırken tarih sırası korunmuş ve karşı tarafın ya da kurumun işlemi açıkça gösterilmiştir. İşveren kesinti yazısı üzerinde yer alan tarih ve kayıt numarası dilekçedeki anlatımla uyumludur.</w:t>
      </w:r>
    </w:p>
    <w:p>
      <w:pPr>
        <w:keepLines w:val="0"/>
        <w:ind w:firstLine="340"/>
      </w:pPr>
      <w:r>
        <w:rPr>
          <w:b/>
          <w:color w:val="1E3A8A"/>
        </w:rPr>
        <w:t xml:space="preserve">5. </w:t>
      </w:r>
      <w:r>
        <w:t>Kesinti oranları tarih, yer, kişi ve belge bağlantısıyla açıklanır. Kesinti oranları başlığı altında başvurunun hukuki yararı açıklanmıştır. İstenen sonucun neden gerekli olduğu, Banka ekstresi ile talep arasındaki bağlantı kurularak gösterilmiştir.</w:t>
      </w:r>
    </w:p>
    <w:p>
      <w:pPr>
        <w:keepLines w:val="0"/>
        <w:ind w:firstLine="340"/>
      </w:pPr>
      <w:r>
        <w:rPr>
          <w:b/>
          <w:color w:val="1E3A8A"/>
        </w:rPr>
        <w:t xml:space="preserve">6. </w:t>
      </w:r>
      <w:r>
        <w:t>Nafaka/öncelikli haciz durumu tarih, yer, kişi ve belge bağlantısıyla açıklanır. Nafaka/öncelikli haciz durumu konusunda örnek olayın özel koşulları belirtilmiş; varsayıma dayalı ifade kullanılmamıştır. UYAP dosya kayıtları mevcut değilse belgenin hangi kurumdan ve hangi dönem için getirtilmesi istendiği ayrıca yazılmalıdır.</w:t>
      </w:r>
    </w:p>
    <w:p>
      <w:pPr>
        <w:pStyle w:val="Heading1"/>
      </w:pPr>
      <w:r>
        <w:t>HUKUKİ DEĞERLENDİRME</w:t>
      </w:r>
    </w:p>
    <w:p>
      <w:r>
        <w:t>Başvurunun hukuki dayanağı 2004 sayılı İİK m.83 ve şikâyet hükümleri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2004 sayılı İİK m.83 ve şikâyet hükümleri</w:t>
      </w:r>
    </w:p>
    <w:p>
      <w:r>
        <w:t>2004 sayılı İİK m.83 ve şikâyet hükümleri hükümleri başvurunun maddi ve usul şartlarını belirler. Güncel resmî metin, tebliğ ve işlem tarihinde birlikte değerlendirilir.</w:t>
      </w:r>
    </w:p>
    <w:p>
      <w:pPr>
        <w:pStyle w:val="Heading1"/>
      </w:pPr>
      <w:r>
        <w:t>DELİLLER</w:t>
      </w:r>
    </w:p>
    <w:p>
      <w:r>
        <w:t>1. Ek-1: Maaş bordrosu — ilgili olay paragrafını doğrulayan tarihli ve okunaklı kayıt.</w:t>
      </w:r>
    </w:p>
    <w:p>
      <w:r>
        <w:t>2. Ek-2: İcra müzekkereleri — ilgili olay paragrafını doğrulayan tarihli ve okunaklı kayıt.</w:t>
      </w:r>
    </w:p>
    <w:p>
      <w:r>
        <w:t>3. Ek-3: İşveren kesinti yazısı — ilgili olay paragrafını doğrulayan tarihli ve okunaklı kayıt.</w:t>
      </w:r>
    </w:p>
    <w:p>
      <w:r>
        <w:t>4. Ek-4: Banka ekstresi — ilgili olay paragrafını doğrulayan tarihli ve okunaklı kayıt.</w:t>
      </w:r>
    </w:p>
    <w:p>
      <w:r>
        <w:t>5. Ek-5: UYAP dosya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2004 sayılı İİK m.83 ve şikâyet hükümleri ve somut olaya uygulanacak diğer mevzuat.</w:t>
      </w:r>
    </w:p>
    <w:p>
      <w:pPr>
        <w:pStyle w:val="Heading1"/>
      </w:pPr>
      <w:r>
        <w:t>SONUÇ VE İSTEM</w:t>
      </w:r>
    </w:p>
    <w:p>
      <w:pPr>
        <w:keepNext/>
      </w:pPr>
      <w:r>
        <w:t>Yukarıda açıklanan ve resen dikkate alınacak nedenlerle;</w:t>
      </w:r>
    </w:p>
    <w:p>
      <w:r>
        <w:t>1. Yasal oranı aşan kesintinin düzeltilmesi.</w:t>
      </w:r>
    </w:p>
    <w:p>
      <w:r>
        <w:t>2. Dosyaların sıraya alınması.</w:t>
      </w:r>
    </w:p>
    <w:p>
      <w:r>
        <w:t>3. Fazla kesintinin iadesi/mahsup edilmesi.</w:t>
      </w:r>
    </w:p>
    <w:p>
      <w:r>
        <w:t>4. İşverene yeni müzekkere.</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16.03.2026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Maaş bordrosu</w:t>
      </w:r>
    </w:p>
    <w:p>
      <w:r>
        <w:t>2. İcra müzekkereleri</w:t>
      </w:r>
    </w:p>
    <w:p>
      <w:r>
        <w:t>3. İşveren kesinti yazısı</w:t>
      </w:r>
    </w:p>
    <w:p>
      <w:r>
        <w:t>4. Banka ekstresi</w:t>
      </w:r>
    </w:p>
    <w:p>
      <w:r>
        <w:t>5. UYAP dosya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Haczi uygulayan icra müdürlüğü; şikâyette icra hukuk mahkemesi</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Şikâyete tabi işlem öğrenildikten sonra kural olarak yedi gün; kamu düzeni ve süregelen işlem istisnaları somut olayda değerlendirilir.</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Net ücret, mevcut kesintiler, nafaka önceliği ve haciz müzekkereleri birlikte incelenir.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07.02.2026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Maaş bordrosu</w:t>
            </w:r>
          </w:p>
        </w:tc>
      </w:tr>
      <w:tr>
        <w:tc>
          <w:tcPr>
            <w:tcW w:type="dxa" w:w="3457"/>
            <w:tcMar>
              <w:top w:w="110" w:type="dxa"/>
              <w:start w:w="120" w:type="dxa"/>
              <w:bottom w:w="110" w:type="dxa"/>
              <w:end w:w="120" w:type="dxa"/>
            </w:tcMar>
          </w:tcPr>
          <w:p>
            <w:r>
              <w:t>16.03.2026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İcra müzekkereleri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İşveren kesinti yazısı</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İcra dosyaları</w:t>
            </w:r>
          </w:p>
        </w:tc>
        <w:tc>
          <w:tcPr>
            <w:tcW w:type="dxa" w:w="3457"/>
            <w:tcMar>
              <w:top w:w="110" w:type="dxa"/>
              <w:start w:w="120" w:type="dxa"/>
              <w:bottom w:w="110" w:type="dxa"/>
              <w:end w:w="120" w:type="dxa"/>
            </w:tcMar>
          </w:tcPr>
          <w:p>
            <w:r>
              <w:t>Maaş bordrosu</w:t>
            </w:r>
          </w:p>
        </w:tc>
        <w:tc>
          <w:tcPr>
            <w:tcW w:type="dxa" w:w="3457"/>
            <w:tcMar>
              <w:top w:w="110" w:type="dxa"/>
              <w:start w:w="120" w:type="dxa"/>
              <w:bottom w:w="110" w:type="dxa"/>
              <w:end w:w="120" w:type="dxa"/>
            </w:tcMar>
          </w:tcPr>
          <w:p>
            <w:r>
              <w:t>Yasal oranı aşan kesintinin düzeltilmesi</w:t>
            </w:r>
          </w:p>
        </w:tc>
      </w:tr>
      <w:tr>
        <w:tc>
          <w:tcPr>
            <w:tcW w:type="dxa" w:w="3457"/>
            <w:tcMar>
              <w:top w:w="110" w:type="dxa"/>
              <w:start w:w="120" w:type="dxa"/>
              <w:bottom w:w="110" w:type="dxa"/>
              <w:end w:w="120" w:type="dxa"/>
            </w:tcMar>
          </w:tcPr>
          <w:p>
            <w:r>
              <w:t>Maaş ve net gelir</w:t>
            </w:r>
          </w:p>
        </w:tc>
        <w:tc>
          <w:tcPr>
            <w:tcW w:type="dxa" w:w="3457"/>
            <w:tcMar>
              <w:top w:w="110" w:type="dxa"/>
              <w:start w:w="120" w:type="dxa"/>
              <w:bottom w:w="110" w:type="dxa"/>
              <w:end w:w="120" w:type="dxa"/>
            </w:tcMar>
          </w:tcPr>
          <w:p>
            <w:r>
              <w:t>İcra müzekkereleri</w:t>
            </w:r>
          </w:p>
        </w:tc>
        <w:tc>
          <w:tcPr>
            <w:tcW w:type="dxa" w:w="3457"/>
            <w:tcMar>
              <w:top w:w="110" w:type="dxa"/>
              <w:start w:w="120" w:type="dxa"/>
              <w:bottom w:w="110" w:type="dxa"/>
              <w:end w:w="120" w:type="dxa"/>
            </w:tcMar>
          </w:tcPr>
          <w:p>
            <w:r>
              <w:t>Dosyaların sıraya alınması</w:t>
            </w:r>
          </w:p>
        </w:tc>
      </w:tr>
      <w:tr>
        <w:tc>
          <w:tcPr>
            <w:tcW w:type="dxa" w:w="3457"/>
            <w:tcMar>
              <w:top w:w="110" w:type="dxa"/>
              <w:start w:w="120" w:type="dxa"/>
              <w:bottom w:w="110" w:type="dxa"/>
              <w:end w:w="120" w:type="dxa"/>
            </w:tcMar>
          </w:tcPr>
          <w:p>
            <w:r>
              <w:t>Kesinti başlangıçları</w:t>
            </w:r>
          </w:p>
        </w:tc>
        <w:tc>
          <w:tcPr>
            <w:tcW w:type="dxa" w:w="3457"/>
            <w:tcMar>
              <w:top w:w="110" w:type="dxa"/>
              <w:start w:w="120" w:type="dxa"/>
              <w:bottom w:w="110" w:type="dxa"/>
              <w:end w:w="120" w:type="dxa"/>
            </w:tcMar>
          </w:tcPr>
          <w:p>
            <w:r>
              <w:t>İşveren kesinti yazısı</w:t>
            </w:r>
          </w:p>
        </w:tc>
        <w:tc>
          <w:tcPr>
            <w:tcW w:type="dxa" w:w="3457"/>
            <w:tcMar>
              <w:top w:w="110" w:type="dxa"/>
              <w:start w:w="120" w:type="dxa"/>
              <w:bottom w:w="110" w:type="dxa"/>
              <w:end w:w="120" w:type="dxa"/>
            </w:tcMar>
          </w:tcPr>
          <w:p>
            <w:r>
              <w:t>Fazla kesintinin iadesi/mahsup edilmesi</w:t>
            </w:r>
          </w:p>
        </w:tc>
      </w:tr>
      <w:tr>
        <w:tc>
          <w:tcPr>
            <w:tcW w:type="dxa" w:w="3457"/>
            <w:tcMar>
              <w:top w:w="110" w:type="dxa"/>
              <w:start w:w="120" w:type="dxa"/>
              <w:bottom w:w="110" w:type="dxa"/>
              <w:end w:w="120" w:type="dxa"/>
            </w:tcMar>
          </w:tcPr>
          <w:p>
            <w:r>
              <w:t>Kesinti oranları</w:t>
            </w:r>
          </w:p>
        </w:tc>
        <w:tc>
          <w:tcPr>
            <w:tcW w:type="dxa" w:w="3457"/>
            <w:tcMar>
              <w:top w:w="110" w:type="dxa"/>
              <w:start w:w="120" w:type="dxa"/>
              <w:bottom w:w="110" w:type="dxa"/>
              <w:end w:w="120" w:type="dxa"/>
            </w:tcMar>
          </w:tcPr>
          <w:p>
            <w:r>
              <w:t>Banka ekstresi</w:t>
            </w:r>
          </w:p>
        </w:tc>
        <w:tc>
          <w:tcPr>
            <w:tcW w:type="dxa" w:w="3457"/>
            <w:tcMar>
              <w:top w:w="110" w:type="dxa"/>
              <w:start w:w="120" w:type="dxa"/>
              <w:bottom w:w="110" w:type="dxa"/>
              <w:end w:w="120" w:type="dxa"/>
            </w:tcMar>
          </w:tcPr>
          <w:p>
            <w:r>
              <w:t>İşverene yeni müzekkere</w:t>
            </w:r>
          </w:p>
        </w:tc>
      </w:tr>
      <w:tr>
        <w:tc>
          <w:tcPr>
            <w:tcW w:type="dxa" w:w="3457"/>
            <w:tcMar>
              <w:top w:w="110" w:type="dxa"/>
              <w:start w:w="120" w:type="dxa"/>
              <w:bottom w:w="110" w:type="dxa"/>
              <w:end w:w="120" w:type="dxa"/>
            </w:tcMar>
          </w:tcPr>
          <w:p>
            <w:r>
              <w:t>Nafaka/öncelikli haciz durumu</w:t>
            </w:r>
          </w:p>
        </w:tc>
        <w:tc>
          <w:tcPr>
            <w:tcW w:type="dxa" w:w="3457"/>
            <w:tcMar>
              <w:top w:w="110" w:type="dxa"/>
              <w:start w:w="120" w:type="dxa"/>
              <w:bottom w:w="110" w:type="dxa"/>
              <w:end w:w="120" w:type="dxa"/>
            </w:tcMar>
          </w:tcPr>
          <w:p>
            <w:r>
              <w:t>UYAP dosya kayıtları</w:t>
            </w:r>
          </w:p>
        </w:tc>
        <w:tc>
          <w:tcPr>
            <w:tcW w:type="dxa" w:w="3457"/>
            <w:tcMar>
              <w:top w:w="110" w:type="dxa"/>
              <w:start w:w="120" w:type="dxa"/>
              <w:bottom w:w="110" w:type="dxa"/>
              <w:end w:w="120" w:type="dxa"/>
            </w:tcMar>
          </w:tcPr>
          <w:p>
            <w:r>
              <w:t>Yasal oranı aşan kesintinin düzeltilmesi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Şikâyete tabi işlem öğrenildikten sonra kural olarak yedi gün; kamu düzeni ve süregelen işlem istisnaları somut olayda değerlendirilir.</w:t>
      </w:r>
    </w:p>
    <w:p>
      <w:r>
        <w:t>• Görev/yetki riski: Haczi uygulayan icra müdürlüğü; şikâyette icra hukuk mahkemesi</w:t>
      </w:r>
    </w:p>
    <w:p>
      <w:r>
        <w:t>• Ön koşul riski: Net ücret, mevcut kesintiler, nafaka önceliği ve haciz müzekkereleri birlikte incelenir.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Maaş Haczi Oranına veya Birden Fazla Kesintiye İtiraz Dilekçesi Örneği 2026 | Word İndir</dc:title>
  <dc:subject>maaş haczi itiraz dilekçesi</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