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EDINILMIŞ MALLARA KATILMA VE MAL REJIMININ TASFIYESI DAVA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GÖREVLI MAHKEME AILE MAHKEMESIDIR. TMK M.214’TEKI ÖZEL YETKI KURALLARI UYGULANIR.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DAVACI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DAVALI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Mal rejiminin tasfiyesi ile katılma ve varsa değer artış payı alacağının tahsili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tMK 202 ve devamına göre 1 Ocak 2002’den sonra yasal mal rejimi edinilmiş mallara katılmadır. Tasfiyede kişisel ve edinilmiş mallar ayrılır, eklenecek değerler ve denkleştirme hesaplanır, kalan değerin kural olarak yarısı katılma alacağıdır.</w:t>
      </w:r>
    </w:p>
    <w:p>
      <w:pPr/>
      <w:r>
        <w:rPr>
          <w:b/>
        </w:rPr>
        <w:t xml:space="preserve">2. </w:t>
      </w:r>
      <w:r>
        <w:t>Taraflar [EVLENME TARİHİ] tarihinde evlendi; boşanma davası [DOSYA] ile [TARİH] tarihinde açıldı/kesinleşti.</w:t>
      </w:r>
    </w:p>
    <w:p>
      <w:pPr/>
      <w:r>
        <w:rPr>
          <w:b/>
        </w:rPr>
        <w:t xml:space="preserve">3. </w:t>
      </w:r>
      <w:r>
        <w:t>Mal rejimi döneminde [TAŞINMAZ/ARAÇ/ŞİRKET PAYI/MEVDUAT] edinildi.</w:t>
      </w:r>
    </w:p>
    <w:p>
      <w:pPr/>
      <w:r>
        <w:rPr>
          <w:b/>
        </w:rPr>
        <w:t xml:space="preserve">4. </w:t>
      </w:r>
      <w:r>
        <w:t>Davalı [MAL] üzerinde [DEVİR/GİZLEME/BAĞIŞ] işlemi yaptı; TMK 229 yönünden inceleme gerekir.</w:t>
      </w:r>
    </w:p>
    <w:p>
      <w:pPr/>
      <w:r>
        <w:rPr>
          <w:b/>
        </w:rPr>
        <w:t xml:space="preserve">5. </w:t>
      </w:r>
      <w:r>
        <w:t>Davacının katkısı, kişisel mal kaynağı ve tasfiye alacağı belgelerle hesaplanmalıdır.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TMK m.202: </w:t>
      </w:r>
      <w:r>
        <w:t>Eşler başka bir mal rejimi seçmedikçe edinilmiş mallara katılma rejimine tabidir.</w:t>
      </w:r>
    </w:p>
    <w:p>
      <w:pPr>
        <w:ind w:left="312"/>
      </w:pPr>
      <w:r>
        <w:rPr>
          <w:b/>
          <w:color w:val="1E3A8A"/>
        </w:rPr>
        <w:t xml:space="preserve">TMK m.225: </w:t>
      </w:r>
      <w:r>
        <w:t>Mal rejimi ölümle veya başka rejimin kabulüyle; boşanma hâlinde dava tarihinden geçerli olmak üzere sona erer.</w:t>
      </w:r>
    </w:p>
    <w:p>
      <w:pPr>
        <w:ind w:left="312"/>
      </w:pPr>
      <w:r>
        <w:rPr>
          <w:b/>
          <w:color w:val="1E3A8A"/>
        </w:rPr>
        <w:t xml:space="preserve">TMK m.229-231: </w:t>
      </w:r>
      <w:r>
        <w:t>Eklenecek değerler, denkleştirme ve artık değer hesabının esasları belirlenir.</w:t>
      </w:r>
    </w:p>
    <w:p>
      <w:pPr>
        <w:ind w:left="312"/>
      </w:pPr>
      <w:r>
        <w:rPr>
          <w:b/>
          <w:color w:val="1E3A8A"/>
        </w:rPr>
        <w:t xml:space="preserve">TMK m.236: </w:t>
      </w:r>
      <w:r>
        <w:t>Her eş veya mirasçıları diğer eşe ait artık değerin yarısı üzerinde hak sahibi olur.</w:t>
      </w:r>
    </w:p>
    <w:p>
      <w:pPr>
        <w:ind w:left="312"/>
      </w:pPr>
      <w:r>
        <w:rPr>
          <w:b/>
          <w:color w:val="1E3A8A"/>
        </w:rPr>
        <w:t xml:space="preserve">TMK m.214: </w:t>
      </w:r>
      <w:r>
        <w:t>Mal rejiminin tasfiyesinde özel yetkili mahkemeler düzenlenir.</w:t>
      </w:r>
    </w:p>
    <w:p>
      <w:pPr>
        <w:pStyle w:val="Heading1"/>
      </w:pPr>
      <w:r>
        <w:t>HUKUKİ NEDENLER</w:t>
      </w:r>
    </w:p>
    <w:p>
      <w:r>
        <w:t>TMK m.202, TMK m.225, TMK m.229-231, TMK m.236, TMK m.214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Evlilik ve boşanma kayıtları</w:t>
      </w:r>
    </w:p>
    <w:p>
      <w:pPr/>
      <w:r>
        <w:rPr>
          <w:b/>
        </w:rPr>
        <w:t xml:space="preserve">2. </w:t>
      </w:r>
      <w:r>
        <w:t>Tapu, trafik, banka ve yatırım hesapları</w:t>
      </w:r>
    </w:p>
    <w:p>
      <w:pPr/>
      <w:r>
        <w:rPr>
          <w:b/>
        </w:rPr>
        <w:t xml:space="preserve">3. </w:t>
      </w:r>
      <w:r>
        <w:t>Şirket ticaret sicili ve mali kayıtları</w:t>
      </w:r>
    </w:p>
    <w:p>
      <w:pPr/>
      <w:r>
        <w:rPr>
          <w:b/>
        </w:rPr>
        <w:t xml:space="preserve">4. </w:t>
      </w:r>
      <w:r>
        <w:t>Kredi ödeme belgeleri</w:t>
      </w:r>
    </w:p>
    <w:p>
      <w:pPr/>
      <w:r>
        <w:rPr>
          <w:b/>
        </w:rPr>
        <w:t xml:space="preserve">5. </w:t>
      </w:r>
      <w:r>
        <w:t>Bilirkişi ve keşif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Tasfiyeye konu malvarlığının kurumlara müzekkereyle araştırılması,</w:t>
      </w:r>
    </w:p>
    <w:p>
      <w:pPr>
        <w:ind w:left="283"/>
      </w:pPr>
      <w:r>
        <w:rPr>
          <w:b/>
        </w:rPr>
        <w:t xml:space="preserve">2. </w:t>
      </w:r>
      <w:r>
        <w:t>Devri önlemek için uygun ihtiyati tedbir,</w:t>
      </w:r>
    </w:p>
    <w:p>
      <w:pPr>
        <w:ind w:left="283"/>
      </w:pPr>
      <w:r>
        <w:rPr>
          <w:b/>
        </w:rPr>
        <w:t xml:space="preserve">3. </w:t>
      </w:r>
      <w:r>
        <w:t>Katılma/değer artış payı alacağının bilirkişi hesabıyla tahsili,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DAVACI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Evlilik ve boşanma kayıtları</w:t>
      </w:r>
    </w:p>
    <w:p>
      <w:pPr/>
      <w:r>
        <w:t>2. Tapu, trafik, banka ve yatırım hesapları</w:t>
      </w:r>
    </w:p>
    <w:p>
      <w:pPr/>
      <w:r>
        <w:t>3. Şirket ticaret sicili ve mali kayıtları</w:t>
      </w:r>
    </w:p>
    <w:p>
      <w:pPr/>
      <w:r>
        <w:t>4. Kredi ödeme belgeleri</w:t>
      </w:r>
    </w:p>
    <w:p>
      <w:pPr/>
      <w:r>
        <w:t>5. Bilirkişi ve keşif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Görevli mahkeme Aile Mahkemesidir. TMK m.214’teki özel yetki kuralları uygulanır.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Katılma alacağı bakımından boşanma hükmünün kesinleşmesinden itibaren on yıllık genel zamanaşımı uygulanır.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Boşanma davası sonuçlanmadan tasfiye kararı verilemez; dava ayrı açılmışsa boşanma hükmünün kesinleşmesi bekletici mesele yapılır.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Taraflar □ [EVLENME TARİHİ] tarihinde evlendi; boşanma davası [DOSYA] ile [TARİH] tarihinde açıldı/kesinleşti.</w:t>
      </w:r>
    </w:p>
    <w:p>
      <w:pPr/>
      <w:r>
        <w:t>Mal rejimi döneminde □ [TAŞINMAZ/ARAÇ/ŞİRKET PAYI/MEVDUAT] edinildi.</w:t>
      </w:r>
    </w:p>
    <w:p>
      <w:pPr/>
      <w:r>
        <w:t>Davalı □ [MAL] üzerinde [DEVİR/GİZLEME/BAĞIŞ] işlemi yaptı; TMK 229 yönünden inceleme gerekir.</w:t>
      </w:r>
    </w:p>
    <w:p>
      <w:pPr/>
      <w:r>
        <w:t>Davacının katkısı, kişisel mal kaynağı ve tasfiye alacağı belgelerle hesaplanmalıdır.</w:t>
      </w:r>
    </w:p>
    <w:p>
      <w:pPr>
        <w:pStyle w:val="Heading2"/>
      </w:pPr>
      <w:r>
        <w:t>Başvuru öncesi kritik kontroller</w:t>
      </w:r>
    </w:p>
    <w:p>
      <w:pPr/>
      <w:r>
        <w:t>□ Mal rejiminin sona erme tarihini boşanma davasının açıldığı tarih olarak alın.</w:t>
      </w:r>
    </w:p>
    <w:p>
      <w:pPr/>
      <w:r>
        <w:t>□ Kişisel mal kaynağı iddiasını banka/kredi/miras kayıtlarıyla izlenebilir hâle getirin.</w:t>
      </w:r>
    </w:p>
    <w:p>
      <w:pPr/>
      <w:r>
        <w:t>□ Her taşınmaz ve hesap için tedbir talebini ayrı ve ölçülü kurun.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TMK güncel metni</w:t>
        </w:r>
      </w:hyperlink>
    </w:p>
    <w:p>
      <w:hyperlink r:id="rId12">
        <w:r>
          <w:rPr>
            <w:color w:val="1e3a8a"/>
            <w:u w:val="single"/>
          </w:rPr>
          <w:t>HMK güncel metni</w:t>
        </w:r>
      </w:hyperlink>
    </w:p>
    <w:p>
      <w:hyperlink r:id="rId13">
        <w:r>
          <w:rPr>
            <w:color w:val="1e3a8a"/>
            <w:u w:val="single"/>
          </w:rPr>
          <w:t>4787 güncel metni</w:t>
        </w:r>
      </w:hyperlink>
    </w:p>
    <w:p>
      <w:pPr>
        <w:pStyle w:val="Heading2"/>
      </w:pPr>
      <w:r>
        <w:t>İlgili hukuk rehberleri</w:t>
      </w:r>
    </w:p>
    <w:p>
      <w:hyperlink r:id="rId14">
        <w:r>
          <w:rPr>
            <w:color w:val="1e3a8a"/>
            <w:u w:val="single"/>
          </w:rPr>
          <w:t>Boşanma öncesi mal kaçırma ve tedbir</w:t>
        </w:r>
      </w:hyperlink>
    </w:p>
    <w:p>
      <w:hyperlink r:id="rId15">
        <w:r>
          <w:rPr>
            <w:color w:val="1e3a8a"/>
            <w:u w:val="single"/>
          </w:rPr>
          <w:t>Boşanma davası nasıl açılır?</w:t>
        </w:r>
      </w:hyperlink>
    </w:p>
    <w:p>
      <w:hyperlink r:id="rId16">
        <w:r>
          <w:rPr>
            <w:color w:val="1e3a8a"/>
            <w:u w:val="single"/>
          </w:rPr>
          <w:t>Çekişmeli boşanma davası</w:t>
        </w:r>
      </w:hyperlink>
    </w:p>
    <w:p>
      <w:hyperlink r:id="rId17">
        <w:r>
          <w:rPr>
            <w:color w:val="1e3a8a"/>
            <w:u w:val="single"/>
          </w:rPr>
          <w:t>Gayrimenkul hukuku hizmetleri</w:t>
        </w:r>
      </w:hyperlink>
    </w:p>
    <w:p>
      <w:hyperlink r:id="rId18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9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4721.pdf" TargetMode="External"/><Relationship Id="rId12" Type="http://schemas.openxmlformats.org/officeDocument/2006/relationships/hyperlink" Target="https://www.mevzuat.gov.tr/mevzuatmetin/1.5.6100.pdf" TargetMode="External"/><Relationship Id="rId13" Type="http://schemas.openxmlformats.org/officeDocument/2006/relationships/hyperlink" Target="https://www.mevzuat.gov.tr/mevzuatmetin/1.5.4787.pdf" TargetMode="External"/><Relationship Id="rId14" Type="http://schemas.openxmlformats.org/officeDocument/2006/relationships/hyperlink" Target="https://halilbakirci.av.tr/bosanma-oncesi-mal-kacirma-tedbir-mersin/" TargetMode="External"/><Relationship Id="rId15" Type="http://schemas.openxmlformats.org/officeDocument/2006/relationships/hyperlink" Target="https://halilbakirci.av.tr/bosanma-davasi-nasil-acilir/" TargetMode="External"/><Relationship Id="rId16" Type="http://schemas.openxmlformats.org/officeDocument/2006/relationships/hyperlink" Target="https://halilbakirci.av.tr/cekismeli-bosanma-davasi/" TargetMode="External"/><Relationship Id="rId17" Type="http://schemas.openxmlformats.org/officeDocument/2006/relationships/hyperlink" Target="https://halilbakirci.av.tr/mersin-gayrimenkul-avukati/" TargetMode="External"/><Relationship Id="rId18" Type="http://schemas.openxmlformats.org/officeDocument/2006/relationships/hyperlink" Target="https://halilbakirci.av.tr/iletisim/" TargetMode="External"/><Relationship Id="rId19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Edinilmiş Mallara Katılma ve Mal Rejiminin Tasfiyesi Dava Dilekçesi</dc:title>
  <dc:subject>mal rejimi tasfiyesi dilekçesi</dc:subject>
  <dc:creator>Av. Halil Bakırcı</dc:creator>
  <cp:keywords>mal rejimi tasfiyesi dilekçesi, dilekçe örneği, Word indir, Aile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