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MEMUR EMEKLILIK İŞLEMINE İLIŞKIN İPTAL DAVA DILEKÇESI</w:t>
      </w:r>
    </w:p>
    <w:p>
      <w:pPr>
        <w:jc w:val="center"/>
        <w:spacing w:before="120" w:after="220" w:line="276" w:lineRule="auto"/>
      </w:pPr>
      <w:r>
        <w:rPr>
          <w:rFonts w:ascii="Times New Roman" w:hAnsi="Times New Roman" w:eastAsia="Times New Roman"/>
          <w:b/>
          <w:sz w:val="25"/>
          <w:szCs w:val="25"/>
        </w:rPr>
        <w:t xml:space="preserve">[YETKİLİ YER] NÖBETÇİ İDARE MAHKEMESİ BAŞKANLIĞINA</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[MEMUR/EMEKLİ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[İLGİLİ KAMU İDARESİ / SGK – SOMUT STATÜYE GÖRE]</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Emeklilik talebinin reddi, hatalı hizmet hesabı veya emeklilik işleminin hukuka aykırı bölümünün iptali ve buna bağlı özlük/parasal hakların düzeltilmesi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Kamu görevlisinin ilk sigortalılık tarihi ve tabi olduğu emeklilik rejimi görevli yargı ve uygulanacak hükümlerde önemlidir. Bu alan statüye göre ayrıca doğrulanmalıdır.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[KURUM] bünyesinde [UNVAN] olarak çalışmış ve toplam hizmet süresi [SÜRE] olarak kayıtlıdır. Hizmet cetveli, derece/kademe ve prim/kesenek kayıtları ektedir.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Davacı [TARİH] tarihinde emeklilik talebinde bulunmuş; idare/SGK [İŞLEM TARİHİ] tarihli işlemle [RET/HATALI HİZMET HESABI/EKSİK AYLIK] sonucu doğurmuştur.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Dava konusu işlemde [HİZMET BİRLEŞTİRME/YIPRANMA/FİİLİ HİZMET/ZAM ve TAZMİNAT] gibi belirleyici süre veya unsur dikkate alınmamışsa bunlar hizmet belgeleriyle somutlaştırılmıştır.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Hatalı işlem nedeniyle davacının emeklilik tarihi, aylık başlangıcı veya parasal hakları etkilenmiştir. İptal kararının gereği olarak özlük ve parasal sonuçların başvuru/ hak kazanma tarihinden itibaren düzeltilmesi talep edilmektedir.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İdari davada iptali istenen kesin ve yürütülmesi zorunlu işlem; tarih, sayı ve tebliğ/öğrenme bilgisiyle açıkça gösterilmelidir. Dilekçe, idarenin işleminden bağımsız genel şikâyet metni değil, işlem unsurlarının hukuka uygunluk denetimine yönelmiş olmalıdır.</w:t>
      </w:r>
    </w:p>
    <w:p>
      <w:pPr>
        <w:jc w:val="both"/>
        <w:spacing w:before="0" w:after="130" w:line="276" w:lineRule="auto"/>
        <w:ind w:firstLine="360"/>
      </w:pPr>
      <w:r>
        <w:rPr>
          <w:rFonts w:ascii="Times New Roman" w:hAnsi="Times New Roman" w:eastAsia="Times New Roman"/>
          <w:sz w:val="23"/>
          <w:szCs w:val="23"/>
        </w:rPr>
        <w:t xml:space="preserve">6. Dava açma süresi ve varsa zorunlu/isteğe bağlı idari başvuru yolları kronolojik olarak hesaplanmalıdır. Yürütmenin durdurulması isteniyorsa açık hukuka aykırılık ve telafisi güç veya imkânsız zarar koşulları ayrı başlık altında somutlaştırılmalıdır.</w:t>
      </w:r>
    </w:p>
    <w:p>
      <w:pPr>
        <w:jc w:val="both"/>
        <w:spacing w:before="0" w:after="130" w:line="276" w:lineRule="auto"/>
        <w:ind w:firstLine="360"/>
      </w:pPr>
      <w:r>
        <w:rPr>
          <w:rFonts w:ascii="Times New Roman" w:hAnsi="Times New Roman" w:eastAsia="Times New Roman"/>
          <w:sz w:val="23"/>
          <w:szCs w:val="23"/>
        </w:rPr>
        <w:t xml:space="preserve">7. İdarenin takdir yetkisi bulunan alanlarda dahi yetki, şekil, sebep, konu ve maksat unsurları ile eşitlik, ölçülülük ve kamu yararı ilkeleri yönünden denetim yapılır. Mahkemeden idarenin yerine geçerek işlem tesis etmesi değil, hukuka aykırı işlemin iptali istenmelidir.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İDARE MAHKEMESİ BAŞKANLIĞINA hitabıyla kurulmuştur. Somut dosyanın yetkili yeri, taraf sıfatı, dava şartı ve ön başvuru koşulları dosya belgeleri üzerinden ayrıca kontrol edilmelidir. Kamu görevlisinin ilk sigortalılık tarihi ve tabi olduğu emeklilik rejimi görevli yargı ve uygulanacak hükümlerde önemlidir. Bu alan statüye göre ayrıca doğrulanmalıdır.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Hizmet cetveli ve SGK kayıtları, Emeklilik başvurusu, Dava konusu işlem ve tebliğ belgesi, Maaş/aylık hesapları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Memur Emeklilik İşlemine İlişkin İptal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 konusu emeklilik işleminin hukuka aykırı bölümünün iptaline; Hizmet/emeklilik hesabının doğru şekilde yeniden yapılmasına; Yoksun kalınan parasal hakların yasal faiziyle ödenmesine.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memur emeklilik i̇şlemine i̇lişkin i̇ptal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Davacının statüsüne göre 5434 sayılı T.C. Emekli Sandığı Kanunu ve/veya 5510 sayılı Kanun, 657 sayılı Kanun, 2577 sayılı İYUK ve ilgili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Hizmet cetveli ve SGK kayıtları</w:t>
      </w:r>
    </w:p>
    <w:p>
      <w:pPr>
        <w:jc w:val="left"/>
        <w:spacing w:before="0" w:after="60" w:line="276" w:lineRule="auto"/>
      </w:pPr>
      <w:r>
        <w:rPr>
          <w:rFonts w:ascii="Times New Roman" w:hAnsi="Times New Roman" w:eastAsia="Times New Roman"/>
          <w:sz w:val="23"/>
          <w:szCs w:val="23"/>
        </w:rPr>
        <w:t xml:space="preserve">2. Emeklilik başvurusu</w:t>
      </w:r>
    </w:p>
    <w:p>
      <w:pPr>
        <w:jc w:val="left"/>
        <w:spacing w:before="0" w:after="60" w:line="276" w:lineRule="auto"/>
      </w:pPr>
      <w:r>
        <w:rPr>
          <w:rFonts w:ascii="Times New Roman" w:hAnsi="Times New Roman" w:eastAsia="Times New Roman"/>
          <w:sz w:val="23"/>
          <w:szCs w:val="23"/>
        </w:rPr>
        <w:t xml:space="preserve">3. Dava konusu işlem ve tebliğ belgesi</w:t>
      </w:r>
    </w:p>
    <w:p>
      <w:pPr>
        <w:jc w:val="left"/>
        <w:spacing w:before="0" w:after="60" w:line="276" w:lineRule="auto"/>
      </w:pPr>
      <w:r>
        <w:rPr>
          <w:rFonts w:ascii="Times New Roman" w:hAnsi="Times New Roman" w:eastAsia="Times New Roman"/>
          <w:sz w:val="23"/>
          <w:szCs w:val="23"/>
        </w:rPr>
        <w:t xml:space="preserve">4. Maaş/aylık hesapları</w:t>
      </w:r>
    </w:p>
    <w:p>
      <w:pPr>
        <w:jc w:val="left"/>
        <w:spacing w:before="0" w:after="60" w:line="276" w:lineRule="auto"/>
      </w:pPr>
      <w:r>
        <w:rPr>
          <w:rFonts w:ascii="Times New Roman" w:hAnsi="Times New Roman" w:eastAsia="Times New Roman"/>
          <w:sz w:val="23"/>
          <w:szCs w:val="23"/>
        </w:rPr>
        <w:t xml:space="preserve">5. Kurum özlük dosyası</w:t>
      </w:r>
    </w:p>
    <w:p>
      <w:pPr>
        <w:jc w:val="left"/>
        <w:spacing w:before="0" w:after="60" w:line="276" w:lineRule="auto"/>
      </w:pPr>
      <w:r>
        <w:rPr>
          <w:rFonts w:ascii="Times New Roman" w:hAnsi="Times New Roman" w:eastAsia="Times New Roman"/>
          <w:sz w:val="23"/>
          <w:szCs w:val="23"/>
        </w:rPr>
        <w:t xml:space="preserve">6. Bilirkişi incelemesi gerekirse</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 konusu emeklilik işleminin hukuka aykırı bölümünün iptaline,</w:t>
      </w:r>
    </w:p>
    <w:p>
      <w:pPr>
        <w:jc w:val="both"/>
        <w:spacing w:before="0" w:after="60" w:line="276" w:lineRule="auto"/>
      </w:pPr>
      <w:r>
        <w:rPr>
          <w:rFonts w:ascii="Times New Roman" w:hAnsi="Times New Roman" w:eastAsia="Times New Roman"/>
          <w:sz w:val="23"/>
          <w:szCs w:val="23"/>
        </w:rPr>
        <w:t xml:space="preserve">2. Hizmet/emeklilik hesabının doğru şekilde yeniden yapılmasına,</w:t>
      </w:r>
    </w:p>
    <w:p>
      <w:pPr>
        <w:jc w:val="both"/>
        <w:spacing w:before="0" w:after="60" w:line="276" w:lineRule="auto"/>
      </w:pPr>
      <w:r>
        <w:rPr>
          <w:rFonts w:ascii="Times New Roman" w:hAnsi="Times New Roman" w:eastAsia="Times New Roman"/>
          <w:sz w:val="23"/>
          <w:szCs w:val="23"/>
        </w:rPr>
        <w:t xml:space="preserve">3. Yoksun kalınan parasal hakların yasal faiziyle ödenmesine,</w:t>
      </w:r>
    </w:p>
    <w:p>
      <w:pPr>
        <w:jc w:val="both"/>
        <w:spacing w:before="0" w:after="60" w:line="276" w:lineRule="auto"/>
      </w:pPr>
      <w:r>
        <w:rPr>
          <w:rFonts w:ascii="Times New Roman" w:hAnsi="Times New Roman" w:eastAsia="Times New Roman"/>
          <w:sz w:val="23"/>
          <w:szCs w:val="23"/>
        </w:rPr>
        <w:t xml:space="preserve">4. Yargılama giderleri ve vekâlet ücretinin davalıya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Hizmet cetveli ve SGK kayıtları</w:t>
      </w:r>
    </w:p>
    <w:p>
      <w:pPr>
        <w:jc w:val="left"/>
        <w:spacing w:before="0" w:after="50" w:line="276" w:lineRule="auto"/>
      </w:pPr>
      <w:r>
        <w:rPr>
          <w:rFonts w:ascii="Times New Roman" w:hAnsi="Times New Roman" w:eastAsia="Times New Roman"/>
          <w:sz w:val="23"/>
          <w:szCs w:val="23"/>
        </w:rPr>
        <w:t xml:space="preserve">Ek-2: Emeklilik başvurusu</w:t>
      </w:r>
    </w:p>
    <w:p>
      <w:pPr>
        <w:jc w:val="left"/>
        <w:spacing w:before="0" w:after="50" w:line="276" w:lineRule="auto"/>
      </w:pPr>
      <w:r>
        <w:rPr>
          <w:rFonts w:ascii="Times New Roman" w:hAnsi="Times New Roman" w:eastAsia="Times New Roman"/>
          <w:sz w:val="23"/>
          <w:szCs w:val="23"/>
        </w:rPr>
        <w:t xml:space="preserve">Ek-3: Dava konusu işlem ve tebliğ belgesi</w:t>
      </w:r>
    </w:p>
    <w:p>
      <w:pPr>
        <w:jc w:val="left"/>
        <w:spacing w:before="0" w:after="50" w:line="276" w:lineRule="auto"/>
      </w:pPr>
      <w:r>
        <w:rPr>
          <w:rFonts w:ascii="Times New Roman" w:hAnsi="Times New Roman" w:eastAsia="Times New Roman"/>
          <w:sz w:val="23"/>
          <w:szCs w:val="23"/>
        </w:rPr>
        <w:t xml:space="preserve">Ek-4: Maaş/aylık hesapları</w:t>
      </w:r>
    </w:p>
    <w:p>
      <w:pPr>
        <w:jc w:val="left"/>
        <w:spacing w:before="0" w:after="50" w:line="276" w:lineRule="auto"/>
      </w:pPr>
      <w:r>
        <w:rPr>
          <w:rFonts w:ascii="Times New Roman" w:hAnsi="Times New Roman" w:eastAsia="Times New Roman"/>
          <w:sz w:val="23"/>
          <w:szCs w:val="23"/>
        </w:rPr>
        <w:t xml:space="preserve">Ek-5: Kurum özlük dosyası</w:t>
      </w:r>
    </w:p>
    <w:p>
      <w:pPr>
        <w:jc w:val="left"/>
        <w:spacing w:before="0" w:after="50" w:line="276" w:lineRule="auto"/>
      </w:pPr>
      <w:r>
        <w:rPr>
          <w:rFonts w:ascii="Times New Roman" w:hAnsi="Times New Roman" w:eastAsia="Times New Roman"/>
          <w:sz w:val="23"/>
          <w:szCs w:val="23"/>
        </w:rPr>
        <w:t xml:space="preserve">Ek-6: Bilirkişi incelemesi gerekirse</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Memur Emeklilik İşlemine İlişkin İptal Dava Dilekçesi</dc:title>
  <dc:subject>Profesyonel örnek dilekçe – düzenlenebilir Word belgesi</dc:subject>
  <dc:creator>Av. Halil Bakırcı</dc:creator>
  <cp:lastModifiedBy>Av. Halil Bakırcı</cp:lastModifiedBy>
  <dcterms:created xsi:type="dcterms:W3CDTF">2026-09-10T22:21:21Z</dcterms:created>
  <dcterms:modified xsi:type="dcterms:W3CDTF">2026-09-10T22:21:21Z</dcterms:modified>
</cp:coreProperties>
</file>