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MEMUR İSTIFASININ KABUL EDILMEMESI İŞLEMINE KARŞI İPTAL DAVA DILEKÇESI</w:t>
      </w:r>
    </w:p>
    <w:p>
      <w:pPr>
        <w:jc w:val="center"/>
        <w:spacing w:before="120" w:after="220" w:line="276" w:lineRule="auto"/>
      </w:pPr>
      <w:r>
        <w:rPr>
          <w:rFonts w:ascii="Times New Roman" w:hAnsi="Times New Roman" w:eastAsia="Times New Roman"/>
          <w:b/>
          <w:sz w:val="25"/>
          <w:szCs w:val="25"/>
        </w:rPr>
        <w:t xml:space="preserve">[YETKİLİ YER] NÖBETÇİ İDARE MAHKEMESİ BAŞKANLIĞINA</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[MEMUR AD SOYAD – SİCİL]</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[KAMU İDARESİ]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Davacının usulüne uygun çekilme/istifa başvurusuna ilişkin hukuka aykırı idari işlemin iptali ve varsa özlük/parasal sonuçların giderilmesi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Memurun çekilme usulü ile görevin bırakılabileceği tarih 657 sayılı Kanun hükümlerine tabidir. Dava süresi, kesin işlem ve tebliğ/öğrenme tarihine göre hesaplanmalıdır.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[KURUM] bünyesinde [UNVAN] olarak görev yapmakta iken [TARİH] tarihinde yazılı çekilme/istifa talebini yetkili makama sunmuştur. Evrak kayıt numarası ve başvuru içeriği ektedir.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İdare [TARİH/İŞLEM NO] tarihli işlemle başvuruyu reddetmiş, işlem tesis etmemiş veya kanuni bekleme süresini aşacak biçimde davacının statüsünü belirsiz bırakmıştır.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657 sayılı Kanun m.94 ve devamındaki çekilme hükümleri, kamu hizmetinin sürekliliği ile kişinin kamu görevinden ayrılma iradesi arasında açık bir usul öngörmektedir. İdarenin bu çerçevenin dışına çıkan işlemi sebep, konu ve maksat unsurları yönünden denetlenmelidir.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İşlem nedeniyle davacının yeni işe başlama, sosyal güvenlik ve özlük hakları etkilenmişse bu sonuçlar ayrı ayrı belgelenmiştir. Yürütmenin durdurulması isteniyorsa telafisi güç zarar ve açık hukuka aykırılık somutlaştırılmalıdır.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İdari davada iptali istenen kesin ve yürütülmesi zorunlu işlem; tarih, sayı ve tebliğ/öğrenme bilgisiyle açıkça gösterilmelidir. Dilekçe, idarenin işleminden bağımsız genel şikâyet metni değil, işlem unsurlarının hukuka uygunluk denetimine yönelmiş olmalıdır.</w:t>
      </w:r>
    </w:p>
    <w:p>
      <w:pPr>
        <w:jc w:val="both"/>
        <w:spacing w:before="0" w:after="130" w:line="276" w:lineRule="auto"/>
        <w:ind w:firstLine="360"/>
      </w:pPr>
      <w:r>
        <w:rPr>
          <w:rFonts w:ascii="Times New Roman" w:hAnsi="Times New Roman" w:eastAsia="Times New Roman"/>
          <w:sz w:val="23"/>
          <w:szCs w:val="23"/>
        </w:rPr>
        <w:t xml:space="preserve">6. Dava açma süresi ve varsa zorunlu/isteğe bağlı idari başvuru yolları kronolojik olarak hesaplanmalıdır. Yürütmenin durdurulması isteniyorsa açık hukuka aykırılık ve telafisi güç veya imkânsız zarar koşulları ayrı başlık altında somutlaştırılmalıdır.</w:t>
      </w:r>
    </w:p>
    <w:p>
      <w:pPr>
        <w:jc w:val="both"/>
        <w:spacing w:before="0" w:after="130" w:line="276" w:lineRule="auto"/>
        <w:ind w:firstLine="360"/>
      </w:pPr>
      <w:r>
        <w:rPr>
          <w:rFonts w:ascii="Times New Roman" w:hAnsi="Times New Roman" w:eastAsia="Times New Roman"/>
          <w:sz w:val="23"/>
          <w:szCs w:val="23"/>
        </w:rPr>
        <w:t xml:space="preserve">7. İdarenin takdir yetkisi bulunan alanlarda dahi yetki, şekil, sebep, konu ve maksat unsurları ile eşitlik, ölçülülük ve kamu yararı ilkeleri yönünden denetim yapılır. Mahkemeden idarenin yerine geçerek işlem tesis etmesi değil, hukuka aykırı işlemin iptali istenmelidir.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İDARE MAHKEMESİ BAŞKANLIĞINA hitabıyla kurulmuştur. Somut dosyanın yetkili yeri, taraf sıfatı, dava şartı ve ön başvuru koşulları dosya belgeleri üzerinden ayrıca kontrol edilmelidir. Memurun çekilme usulü ile görevin bırakılabileceği tarih 657 sayılı Kanun hükümlerine tabidir. Dava süresi, kesin işlem ve tebliğ/öğrenme tarihine göre hesaplanmalıdır.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İstifa/çekilme dilekçesi ve evrak kayıt belgesi, İdarenin ret/cevap işlemi, Özlük dosyası, Tebliğ/öğrenme kayıtları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Memur İstifasının Kabul Edilmemesi İşlemine Karşı İptal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 konusu idari işlemin iptaline; Koşulları varsa yürütmenin durdurulmasına; İptalin gerektirdiği özlük ve parasal sonuçların giderilmesine.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memur i̇stifasının kabul edilmemesi i̇şlemine karşı i̇ptal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657 sayılı Devlet Memurları Kanunu m.94-97; 2577 sayılı İYUK m.2, m.7, m.27 ve ilgili mevzuat.</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İstifa/çekilme dilekçesi ve evrak kayıt belgesi</w:t>
      </w:r>
    </w:p>
    <w:p>
      <w:pPr>
        <w:jc w:val="left"/>
        <w:spacing w:before="0" w:after="60" w:line="276" w:lineRule="auto"/>
      </w:pPr>
      <w:r>
        <w:rPr>
          <w:rFonts w:ascii="Times New Roman" w:hAnsi="Times New Roman" w:eastAsia="Times New Roman"/>
          <w:sz w:val="23"/>
          <w:szCs w:val="23"/>
        </w:rPr>
        <w:t xml:space="preserve">2. İdarenin ret/cevap işlemi</w:t>
      </w:r>
    </w:p>
    <w:p>
      <w:pPr>
        <w:jc w:val="left"/>
        <w:spacing w:before="0" w:after="60" w:line="276" w:lineRule="auto"/>
      </w:pPr>
      <w:r>
        <w:rPr>
          <w:rFonts w:ascii="Times New Roman" w:hAnsi="Times New Roman" w:eastAsia="Times New Roman"/>
          <w:sz w:val="23"/>
          <w:szCs w:val="23"/>
        </w:rPr>
        <w:t xml:space="preserve">3. Özlük dosyası</w:t>
      </w:r>
    </w:p>
    <w:p>
      <w:pPr>
        <w:jc w:val="left"/>
        <w:spacing w:before="0" w:after="60" w:line="276" w:lineRule="auto"/>
      </w:pPr>
      <w:r>
        <w:rPr>
          <w:rFonts w:ascii="Times New Roman" w:hAnsi="Times New Roman" w:eastAsia="Times New Roman"/>
          <w:sz w:val="23"/>
          <w:szCs w:val="23"/>
        </w:rPr>
        <w:t xml:space="preserve">4. Tebliğ/öğrenme kayıtları</w:t>
      </w:r>
    </w:p>
    <w:p>
      <w:pPr>
        <w:jc w:val="left"/>
        <w:spacing w:before="0" w:after="60" w:line="276" w:lineRule="auto"/>
      </w:pPr>
      <w:r>
        <w:rPr>
          <w:rFonts w:ascii="Times New Roman" w:hAnsi="Times New Roman" w:eastAsia="Times New Roman"/>
          <w:sz w:val="23"/>
          <w:szCs w:val="23"/>
        </w:rPr>
        <w:t xml:space="preserve">5. Parasal kayıp belgeleri varsa</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 konusu idari işlemin iptaline,</w:t>
      </w:r>
    </w:p>
    <w:p>
      <w:pPr>
        <w:jc w:val="both"/>
        <w:spacing w:before="0" w:after="60" w:line="276" w:lineRule="auto"/>
      </w:pPr>
      <w:r>
        <w:rPr>
          <w:rFonts w:ascii="Times New Roman" w:hAnsi="Times New Roman" w:eastAsia="Times New Roman"/>
          <w:sz w:val="23"/>
          <w:szCs w:val="23"/>
        </w:rPr>
        <w:t xml:space="preserve">2. Koşulları varsa yürütmenin durdurulmasına,</w:t>
      </w:r>
    </w:p>
    <w:p>
      <w:pPr>
        <w:jc w:val="both"/>
        <w:spacing w:before="0" w:after="60" w:line="276" w:lineRule="auto"/>
      </w:pPr>
      <w:r>
        <w:rPr>
          <w:rFonts w:ascii="Times New Roman" w:hAnsi="Times New Roman" w:eastAsia="Times New Roman"/>
          <w:sz w:val="23"/>
          <w:szCs w:val="23"/>
        </w:rPr>
        <w:t xml:space="preserve">3. İptalin gerektirdiği özlük ve parasal sonuçların giderilmesine,</w:t>
      </w:r>
    </w:p>
    <w:p>
      <w:pPr>
        <w:jc w:val="both"/>
        <w:spacing w:before="0" w:after="60" w:line="276" w:lineRule="auto"/>
      </w:pPr>
      <w:r>
        <w:rPr>
          <w:rFonts w:ascii="Times New Roman" w:hAnsi="Times New Roman" w:eastAsia="Times New Roman"/>
          <w:sz w:val="23"/>
          <w:szCs w:val="23"/>
        </w:rPr>
        <w:t xml:space="preserve">4. Yargılama giderleri ile vekâlet ücretinin davalı idareye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İstifa/çekilme dilekçesi ve evrak kayıt belgesi</w:t>
      </w:r>
    </w:p>
    <w:p>
      <w:pPr>
        <w:jc w:val="left"/>
        <w:spacing w:before="0" w:after="50" w:line="276" w:lineRule="auto"/>
      </w:pPr>
      <w:r>
        <w:rPr>
          <w:rFonts w:ascii="Times New Roman" w:hAnsi="Times New Roman" w:eastAsia="Times New Roman"/>
          <w:sz w:val="23"/>
          <w:szCs w:val="23"/>
        </w:rPr>
        <w:t xml:space="preserve">Ek-2: İdarenin ret/cevap işlemi</w:t>
      </w:r>
    </w:p>
    <w:p>
      <w:pPr>
        <w:jc w:val="left"/>
        <w:spacing w:before="0" w:after="50" w:line="276" w:lineRule="auto"/>
      </w:pPr>
      <w:r>
        <w:rPr>
          <w:rFonts w:ascii="Times New Roman" w:hAnsi="Times New Roman" w:eastAsia="Times New Roman"/>
          <w:sz w:val="23"/>
          <w:szCs w:val="23"/>
        </w:rPr>
        <w:t xml:space="preserve">Ek-3: Özlük dosyası</w:t>
      </w:r>
    </w:p>
    <w:p>
      <w:pPr>
        <w:jc w:val="left"/>
        <w:spacing w:before="0" w:after="50" w:line="276" w:lineRule="auto"/>
      </w:pPr>
      <w:r>
        <w:rPr>
          <w:rFonts w:ascii="Times New Roman" w:hAnsi="Times New Roman" w:eastAsia="Times New Roman"/>
          <w:sz w:val="23"/>
          <w:szCs w:val="23"/>
        </w:rPr>
        <w:t xml:space="preserve">Ek-4: Tebliğ/öğrenme kayıtları</w:t>
      </w:r>
    </w:p>
    <w:p>
      <w:pPr>
        <w:jc w:val="left"/>
        <w:spacing w:before="0" w:after="50" w:line="276" w:lineRule="auto"/>
      </w:pPr>
      <w:r>
        <w:rPr>
          <w:rFonts w:ascii="Times New Roman" w:hAnsi="Times New Roman" w:eastAsia="Times New Roman"/>
          <w:sz w:val="23"/>
          <w:szCs w:val="23"/>
        </w:rPr>
        <w:t xml:space="preserve">Ek-5: Parasal kayıp belgeleri varsa</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Memur İstifasının Kabul Edilmemesi İşlemine Karşı İptal Dava Dilekçesi</dc:title>
  <dc:subject>Profesyonel örnek dilekçe – düzenlenebilir Word belgesi</dc:subject>
  <dc:creator>Av. Halil Bakırcı</dc:creator>
  <cp:lastModifiedBy>Av. Halil Bakırcı</cp:lastModifiedBy>
  <dcterms:created xsi:type="dcterms:W3CDTF">2026-09-10T22:19:43Z</dcterms:created>
  <dcterms:modified xsi:type="dcterms:W3CDTF">2026-09-10T22:19:43Z</dcterms:modified>
</cp:coreProperties>
</file>