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MESKENIYET NEDENIYLE HACZEDILMEZLIK ŞIKÂYETI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TAKIBIN YAPILDIĞI YER İCRA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ŞİKÂYET EDEN BORÇLU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ALACAKLI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Hâline münasip konut üzerindeki haczin İİK m.82 uyarınca kaldırılması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i̇İK m.82/1-12 uyarınca borçlunun hâline münasip evi haczedilemez. Evin değeri ihtiyacın belirgin biçimde üzerindeyse mahkeme satışa izin verip borçluya uygun ev bedelini ayırabilir; şikâyet öğrenmeden itibaren yedi günde yapılır.</w:t>
      </w:r>
    </w:p>
    <w:p>
      <w:pPr/>
      <w:r>
        <w:rPr>
          <w:b/>
        </w:rPr>
        <w:t xml:space="preserve">2. </w:t>
      </w:r>
      <w:r>
        <w:t>[TAŞINMAZ] üzerine [HACİZ TARİHİ] tarihinde haciz konuldu; haciz [ÖĞRENME TARİHİ] tarihinde öğrenildi.</w:t>
      </w:r>
    </w:p>
    <w:p>
      <w:pPr/>
      <w:r>
        <w:rPr>
          <w:b/>
        </w:rPr>
        <w:t xml:space="preserve">3. </w:t>
      </w:r>
      <w:r>
        <w:t>Taşınmaz borçlu ve bakmakla yükümlü olduğu [KİŞİLER] tarafından sürekli konut olarak kullanılmaktadır.</w:t>
      </w:r>
    </w:p>
    <w:p>
      <w:pPr/>
      <w:r>
        <w:rPr>
          <w:b/>
        </w:rPr>
        <w:t xml:space="preserve">4. </w:t>
      </w:r>
      <w:r>
        <w:t>Ailenin gelir, sağlık, yaş ve sosyal çevre koşulları [AÇIKLAMA] olup taşınmaz hâline münasiptir.</w:t>
      </w:r>
    </w:p>
    <w:p>
      <w:pPr/>
      <w:r>
        <w:rPr>
          <w:b/>
        </w:rPr>
        <w:t xml:space="preserve">5. </w:t>
      </w:r>
      <w:r>
        <w:t>Borçlunun başka uygun konutu yoktur.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İİK m.82/1-12: </w:t>
      </w:r>
      <w:r>
        <w:t>Borçlunun hâline münasip evi haczedilemez; evin değeri fazla ise uygun ev bedeli ayrılarak satış yapılabilir.</w:t>
      </w:r>
    </w:p>
    <w:p>
      <w:pPr>
        <w:ind w:left="312"/>
      </w:pPr>
      <w:r>
        <w:rPr>
          <w:b/>
          <w:color w:val="1E3A8A"/>
        </w:rPr>
        <w:t xml:space="preserve">İİK m.16: </w:t>
      </w:r>
      <w:r>
        <w:t>Kanuna aykırı icra işlemi öğrenmeden itibaren yedi gün içinde şikâyet edilir.</w:t>
      </w:r>
    </w:p>
    <w:p>
      <w:pPr>
        <w:ind w:left="312"/>
      </w:pPr>
      <w:r>
        <w:rPr>
          <w:b/>
          <w:color w:val="1E3A8A"/>
        </w:rPr>
        <w:t xml:space="preserve">Anayasa m.20 ve 35: </w:t>
      </w:r>
      <w:r>
        <w:t>Özel hayat ve mülkiyet hakları, ölçülülük çerçevesinde korunur.</w:t>
      </w:r>
    </w:p>
    <w:p>
      <w:pPr>
        <w:pStyle w:val="Heading1"/>
      </w:pPr>
      <w:r>
        <w:t>HUKUKİ NEDENLER</w:t>
      </w:r>
    </w:p>
    <w:p>
      <w:r>
        <w:t>İİK m.82/1-12, İİK m.16, Anayasa m.20 ve 35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Tapu kaydı ve haciz şerhi</w:t>
      </w:r>
    </w:p>
    <w:p>
      <w:pPr/>
      <w:r>
        <w:rPr>
          <w:b/>
        </w:rPr>
        <w:t xml:space="preserve">2. </w:t>
      </w:r>
      <w:r>
        <w:t>103 davetiyesi/tebligat</w:t>
      </w:r>
    </w:p>
    <w:p>
      <w:pPr/>
      <w:r>
        <w:rPr>
          <w:b/>
        </w:rPr>
        <w:t xml:space="preserve">3. </w:t>
      </w:r>
      <w:r>
        <w:t>Yerleşim yeri ve aile nüfus kayıtları</w:t>
      </w:r>
    </w:p>
    <w:p>
      <w:pPr/>
      <w:r>
        <w:rPr>
          <w:b/>
        </w:rPr>
        <w:t xml:space="preserve">4. </w:t>
      </w:r>
      <w:r>
        <w:t>Gelir ve sağlık belgeleri</w:t>
      </w:r>
    </w:p>
    <w:p>
      <w:pPr/>
      <w:r>
        <w:rPr>
          <w:b/>
        </w:rPr>
        <w:t xml:space="preserve">5. </w:t>
      </w:r>
      <w:r>
        <w:t>Keşif ve bilirkişi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Meskeniyet şikâyetinin kabulüyle haczin kaldırılması,</w:t>
      </w:r>
    </w:p>
    <w:p>
      <w:pPr>
        <w:ind w:left="283"/>
      </w:pPr>
      <w:r>
        <w:rPr>
          <w:b/>
        </w:rPr>
        <w:t xml:space="preserve">2. </w:t>
      </w:r>
      <w:r>
        <w:t>Satış işlemlerinin inceleme sonuna kadar durdurulması,</w:t>
      </w:r>
    </w:p>
    <w:p>
      <w:pPr>
        <w:ind w:left="283"/>
      </w:pPr>
      <w:r>
        <w:rPr>
          <w:b/>
        </w:rPr>
        <w:t xml:space="preserve">3. </w:t>
      </w:r>
      <w:r>
        <w:t>Keşif ve bilirkişi incelemesi yapılması,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ŞİKÂYET EDEN BORÇLU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Tapu kaydı ve haciz şerhi</w:t>
      </w:r>
    </w:p>
    <w:p>
      <w:pPr/>
      <w:r>
        <w:t>2. 103 davetiyesi/tebligat</w:t>
      </w:r>
    </w:p>
    <w:p>
      <w:pPr/>
      <w:r>
        <w:t>3. Yerleşim yeri ve aile nüfus kayıtları</w:t>
      </w:r>
    </w:p>
    <w:p>
      <w:pPr/>
      <w:r>
        <w:t>4. Gelir ve sağlık belgeleri</w:t>
      </w:r>
    </w:p>
    <w:p>
      <w:pPr/>
      <w:r>
        <w:t>5. Keşif ve bilirkişi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Takibin yapıldığı yer İcra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Haczin öğrenildiği tarihten itibaren yedi gündür.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Borçlunun ve ailesinin sosyal-ekonomik durumu, taşınmazın fiilî konut oluşu, değeri ve daha mütevazı konut ihtiyacı belgelenir.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[TAŞINMAZ] üzerine [HACİZ TARİHİ] tarihinde haciz konuldu; haciz [ÖĞRENME TARİHİ] tarihinde öğrenildi.</w:t>
      </w:r>
    </w:p>
    <w:p>
      <w:pPr/>
      <w:r>
        <w:t>Taşınmaz borçlu ve bakmakla yükümlü olduğu □ [KİŞİLER] tarafından sürekli konut olarak kullanılmaktadır.</w:t>
      </w:r>
    </w:p>
    <w:p>
      <w:pPr/>
      <w:r>
        <w:t>Ailenin gelir, sağlık, yaş ve sosyal çevre koşulları □ [AÇIKLAMA] olup taşınmaz hâline münasiptir.</w:t>
      </w:r>
    </w:p>
    <w:p>
      <w:pPr/>
      <w:r>
        <w:t>Borçlunun başka uygun konutu yoktur.</w:t>
      </w:r>
    </w:p>
    <w:p>
      <w:pPr>
        <w:pStyle w:val="Heading2"/>
      </w:pPr>
      <w:r>
        <w:t>Başvuru öncesi kritik kontroller</w:t>
      </w:r>
    </w:p>
    <w:p>
      <w:pPr/>
      <w:r>
        <w:t>□ Yedi günlük öğrenme süresini ve öğrenme belgesini açıkça gösterin.</w:t>
      </w:r>
    </w:p>
    <w:p>
      <w:pPr/>
      <w:r>
        <w:t>□ Taşınmazın tek konut ve fiilî yaşam merkezi olduğunu kanıtlayın.</w:t>
      </w:r>
    </w:p>
    <w:p>
      <w:pPr/>
      <w:r>
        <w:t>□ İpotek belgesini inceleyin; ipoteğin zorunlu veya serbest iradeli niteliği değerlendirmeyi etkiler.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IIK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Eve haciz gelir mi?</w:t>
        </w:r>
      </w:hyperlink>
    </w:p>
    <w:p>
      <w:hyperlink r:id="rId13">
        <w:r>
          <w:rPr>
            <w:color w:val="1e3a8a"/>
            <w:u w:val="single"/>
          </w:rPr>
          <w:t>Haczedilemeyen mallar</w:t>
        </w:r>
      </w:hyperlink>
    </w:p>
    <w:p>
      <w:hyperlink r:id="rId14">
        <w:r>
          <w:rPr>
            <w:color w:val="1e3a8a"/>
            <w:u w:val="single"/>
          </w:rPr>
          <w:t>Usulsüz tebligat rehberi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2004.pdf" TargetMode="External"/><Relationship Id="rId12" Type="http://schemas.openxmlformats.org/officeDocument/2006/relationships/hyperlink" Target="https://halilbakirci.av.tr/eve-haciz-gelir-mi-ev-haczi/" TargetMode="External"/><Relationship Id="rId13" Type="http://schemas.openxmlformats.org/officeDocument/2006/relationships/hyperlink" Target="https://halilbakirci.av.tr/haczedilemeyen-mallar-nelerdir/" TargetMode="External"/><Relationship Id="rId14" Type="http://schemas.openxmlformats.org/officeDocument/2006/relationships/hyperlink" Target="https://halilbakirci.av.tr/usulsuz-tebligat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Meskeniyet Nedeniyle Haczedilmezlik Şikâyeti Dilekçesi</dc:title>
  <dc:subject>meskeniyet şikayeti dilekçesi</dc:subject>
  <dc:creator>Av. Halil Bakırcı</dc:creator>
  <cp:keywords>meskeniyet şikayeti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