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MESLEK HASTALIĞININ TESPITI DAVA DILEKÇESI</w:t>
      </w:r>
    </w:p>
    <w:p>
      <w:pPr>
        <w:jc w:val="center"/>
        <w:spacing w:before="120" w:after="220" w:line="276" w:lineRule="auto"/>
      </w:pPr>
      <w:r>
        <w:rPr>
          <w:rFonts w:ascii="Times New Roman" w:hAnsi="Times New Roman" w:eastAsia="Times New Roman"/>
          <w:b/>
          <w:sz w:val="25"/>
          <w:szCs w:val="25"/>
        </w:rPr>
        <w:t xml:space="preserve">[YETKİLİ YER] NÖBETÇİ İŞ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[SİGORTALI AD SOYAD – T.C. KİMLİK NO]</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DAVALILAR	: </w:t>
      </w:r>
      <w:r>
        <w:rPr>
          <w:rFonts w:ascii="Times New Roman" w:hAnsi="Times New Roman" w:eastAsia="Times New Roman"/>
          <w:sz w:val="23"/>
          <w:szCs w:val="23"/>
        </w:rPr>
        <w:t xml:space="preserve">[SGK BAŞKANLIĞI ve/veya İŞVEREN – SOMUT DURUMA GÖRE]</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Davacının çalışma koşulları nedeniyle ortaya çıkan hastalığının meslek hastalığı olduğunun ve buna bağlı sigortalılık sonuçlarının tespiti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Meslek hastalığı iddiasında SGK incelemesi, yetkili sağlık kurulu raporları, işyeri riskleri ve maruziyet süresi birlikte değerlendirilir. Dava öncesi kurum başvurusunun kapsamı somut dosyada kontrol edilmelidir.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[İŞYERİ/SEKTÖR] bünyesinde [GÖREV] olarak [SÜRE] çalışmış; bu iş sırasında düzenli biçimde [KİMYASAL/GÜRÜLTÜ/TOZ/ERGONOMİK RİSK] maruziyetine uğramıştır. Görev tanımı, vardiya ve işyeri ortam ölçümleri maruziyetin niteliğini göstermektedir.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[HASTALIK/TANI] ilk kez [TARİH] tarihinde tespit edilmiş; tedavi kayıtları ile işyeri maruziyetinin zaman çizelgesi arasında tıbben incelenmesi gereken açık bir bağlantı bulunmaktadır. Davacı daha önce aynı nitelikte bir rahatsızlık taşımıyorsa önceki sağlık kayıtları da dosyaya alınmalıdır.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SGK veya sağlık kurulu değerlendirmesinde meslek hastalığı kabul edilmemiş ya da oran/başlangıç yönünden uyuşmazlık doğmuştur. Kurum kararının dayanak raporları ile işyeri risk değerlendirmelerinin dosyaya getirtilmesi, gerekirse üniversite hastanesi ve Adli Tıp üzerinden uzman incelemesi yapılması gerekmektedir.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Tespit kararı, geçici/sürekli iş göremezlik ve diğer sosyal güvenlik haklarının değerlendirilmesine esas olacaktır. Bu nedenle yalnız tanının değil, çalışma koşulları ile illiyet bağının ve hastalığın başlangıç tarihinin de hükümde açıkça belirlenmesi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İş uyuşmazlıklarında hizmet süresi, ücret, fesih nedeni ve fesih tarihi temel omurgayı oluşturur. SGK kayıtları tek başına her zaman ücret ve çalışma biçimini göstermediğinden banka, bordro, özlük dosyası ve tanık delilleri birlikte değerlendirilmelidir.</w:t>
      </w:r>
    </w:p>
    <w:p>
      <w:pPr>
        <w:jc w:val="both"/>
        <w:spacing w:before="0" w:after="130" w:line="276" w:lineRule="auto"/>
        <w:ind w:firstLine="360"/>
      </w:pPr>
      <w:r>
        <w:rPr>
          <w:rFonts w:ascii="Times New Roman" w:hAnsi="Times New Roman" w:eastAsia="Times New Roman"/>
          <w:sz w:val="23"/>
          <w:szCs w:val="23"/>
        </w:rPr>
        <w:t xml:space="preserve">6. Dava şartı arabuluculuk kapsamında kalan taleplerde son tutanak ile dava dilekçesindeki alacak kalemlerinin uyumu kontrol edilmelidir. Faiz türü ve başlangıç tarihi her işçilik alacağı bakımından ayrı belirlenir.</w:t>
      </w:r>
    </w:p>
    <w:p>
      <w:pPr>
        <w:jc w:val="both"/>
        <w:spacing w:before="0" w:after="130" w:line="276" w:lineRule="auto"/>
        <w:ind w:firstLine="360"/>
      </w:pPr>
      <w:r>
        <w:rPr>
          <w:rFonts w:ascii="Times New Roman" w:hAnsi="Times New Roman" w:eastAsia="Times New Roman"/>
          <w:sz w:val="23"/>
          <w:szCs w:val="23"/>
        </w:rPr>
        <w:t xml:space="preserve">7. İşverenin fesih veya ödeme savunmasına karşı yazılı bildirimler, bordro ihtirazi kayıtları ve banka hareketleri kronolojik sırayla sunulmalıdır. Hesap gerektiren taleplerde bilirkişi incelemesinin hangi veriler üzerinden yapılacağı dilekçede açıkça gösterilmelidir.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İŞ MAHKEMESİ SAYIN HÂKİMLİĞİNE hitabıyla kurulmuştur. Somut dosyanın yetkili yeri, taraf sıfatı, dava şartı ve ön başvuru koşulları dosya belgeleri üzerinden ayrıca kontrol edilmelidir. Meslek hastalığı iddiasında SGK incelemesi, yetkili sağlık kurulu raporları, işyeri riskleri ve maruziyet süresi birlikte değerlendirilir. Dava öncesi kurum başvurusunun kapsamı somut dosyada kontrol edilmelidir.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SGK hizmet dökümü ve işyeri sicil kayıtları, Sağlık kurulu ve hastane raporları, İşyeri risk değerlendirmesi ve ortam ölçümleri, İSG kayıtları ve işe giriş/periyodik muayene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Meslek Hastalığının Tespiti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Hastalığın meslek hastalığı olduğunun tespitine; İşyeri maruziyeti ile hastalık arasındaki illiyet bağının uzman bilirkişi/sağlık kurulu incelemesiyle belirlenmesine; SGK ve işverendeki ilgili kayıtların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meslek hastalığının tespiti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5510 sayılı Sosyal Sigortalar ve Genel Sağlık Sigortası Kanunu m.14, m.95 ve ilgili hükümler; 7036 sayılı İş Mahkemeleri Kanunu; 6100 sayılı HMK ve ilgili yönetmelikler.</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SGK hizmet dökümü ve işyeri sicil kayıtları</w:t>
      </w:r>
    </w:p>
    <w:p>
      <w:pPr>
        <w:jc w:val="left"/>
        <w:spacing w:before="0" w:after="60" w:line="276" w:lineRule="auto"/>
      </w:pPr>
      <w:r>
        <w:rPr>
          <w:rFonts w:ascii="Times New Roman" w:hAnsi="Times New Roman" w:eastAsia="Times New Roman"/>
          <w:sz w:val="23"/>
          <w:szCs w:val="23"/>
        </w:rPr>
        <w:t xml:space="preserve">2. Sağlık kurulu ve hastane raporları</w:t>
      </w:r>
    </w:p>
    <w:p>
      <w:pPr>
        <w:jc w:val="left"/>
        <w:spacing w:before="0" w:after="60" w:line="276" w:lineRule="auto"/>
      </w:pPr>
      <w:r>
        <w:rPr>
          <w:rFonts w:ascii="Times New Roman" w:hAnsi="Times New Roman" w:eastAsia="Times New Roman"/>
          <w:sz w:val="23"/>
          <w:szCs w:val="23"/>
        </w:rPr>
        <w:t xml:space="preserve">3. İşyeri risk değerlendirmesi ve ortam ölçümleri</w:t>
      </w:r>
    </w:p>
    <w:p>
      <w:pPr>
        <w:jc w:val="left"/>
        <w:spacing w:before="0" w:after="60" w:line="276" w:lineRule="auto"/>
      </w:pPr>
      <w:r>
        <w:rPr>
          <w:rFonts w:ascii="Times New Roman" w:hAnsi="Times New Roman" w:eastAsia="Times New Roman"/>
          <w:sz w:val="23"/>
          <w:szCs w:val="23"/>
        </w:rPr>
        <w:t xml:space="preserve">4. İSG kayıtları ve işe giriş/periyodik muayene kayıtları</w:t>
      </w:r>
    </w:p>
    <w:p>
      <w:pPr>
        <w:jc w:val="left"/>
        <w:spacing w:before="0" w:after="60" w:line="276" w:lineRule="auto"/>
      </w:pPr>
      <w:r>
        <w:rPr>
          <w:rFonts w:ascii="Times New Roman" w:hAnsi="Times New Roman" w:eastAsia="Times New Roman"/>
          <w:sz w:val="23"/>
          <w:szCs w:val="23"/>
        </w:rPr>
        <w:t xml:space="preserve">5. Tanıklar</w:t>
      </w:r>
    </w:p>
    <w:p>
      <w:pPr>
        <w:jc w:val="left"/>
        <w:spacing w:before="0" w:after="60" w:line="276" w:lineRule="auto"/>
      </w:pPr>
      <w:r>
        <w:rPr>
          <w:rFonts w:ascii="Times New Roman" w:hAnsi="Times New Roman" w:eastAsia="Times New Roman"/>
          <w:sz w:val="23"/>
          <w:szCs w:val="23"/>
        </w:rPr>
        <w:t xml:space="preserve">6. Bilirkişi / Adli Tıp incelemesi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Hastalığın meslek hastalığı olduğunun tespitine,</w:t>
      </w:r>
    </w:p>
    <w:p>
      <w:pPr>
        <w:jc w:val="both"/>
        <w:spacing w:before="0" w:after="60" w:line="276" w:lineRule="auto"/>
      </w:pPr>
      <w:r>
        <w:rPr>
          <w:rFonts w:ascii="Times New Roman" w:hAnsi="Times New Roman" w:eastAsia="Times New Roman"/>
          <w:sz w:val="23"/>
          <w:szCs w:val="23"/>
        </w:rPr>
        <w:t xml:space="preserve">2. İşyeri maruziyeti ile hastalık arasındaki illiyet bağının uzman bilirkişi/sağlık kurulu incelemesiyle belirlenmesine,</w:t>
      </w:r>
    </w:p>
    <w:p>
      <w:pPr>
        <w:jc w:val="both"/>
        <w:spacing w:before="0" w:after="60" w:line="276" w:lineRule="auto"/>
      </w:pPr>
      <w:r>
        <w:rPr>
          <w:rFonts w:ascii="Times New Roman" w:hAnsi="Times New Roman" w:eastAsia="Times New Roman"/>
          <w:sz w:val="23"/>
          <w:szCs w:val="23"/>
        </w:rPr>
        <w:t xml:space="preserve">3. SGK ve işverendeki ilgili kayıtların celbine,</w:t>
      </w:r>
    </w:p>
    <w:p>
      <w:pPr>
        <w:jc w:val="both"/>
        <w:spacing w:before="0" w:after="60" w:line="276" w:lineRule="auto"/>
      </w:pPr>
      <w:r>
        <w:rPr>
          <w:rFonts w:ascii="Times New Roman" w:hAnsi="Times New Roman" w:eastAsia="Times New Roman"/>
          <w:sz w:val="23"/>
          <w:szCs w:val="23"/>
        </w:rPr>
        <w:t xml:space="preserve">4. Yargılama giderleri ve vekâlet ücretinin davalılara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SGK hizmet dökümü ve işyeri sicil kayıtları</w:t>
      </w:r>
    </w:p>
    <w:p>
      <w:pPr>
        <w:jc w:val="left"/>
        <w:spacing w:before="0" w:after="50" w:line="276" w:lineRule="auto"/>
      </w:pPr>
      <w:r>
        <w:rPr>
          <w:rFonts w:ascii="Times New Roman" w:hAnsi="Times New Roman" w:eastAsia="Times New Roman"/>
          <w:sz w:val="23"/>
          <w:szCs w:val="23"/>
        </w:rPr>
        <w:t xml:space="preserve">Ek-2: Sağlık kurulu ve hastane raporları</w:t>
      </w:r>
    </w:p>
    <w:p>
      <w:pPr>
        <w:jc w:val="left"/>
        <w:spacing w:before="0" w:after="50" w:line="276" w:lineRule="auto"/>
      </w:pPr>
      <w:r>
        <w:rPr>
          <w:rFonts w:ascii="Times New Roman" w:hAnsi="Times New Roman" w:eastAsia="Times New Roman"/>
          <w:sz w:val="23"/>
          <w:szCs w:val="23"/>
        </w:rPr>
        <w:t xml:space="preserve">Ek-3: İşyeri risk değerlendirmesi ve ortam ölçümleri</w:t>
      </w:r>
    </w:p>
    <w:p>
      <w:pPr>
        <w:jc w:val="left"/>
        <w:spacing w:before="0" w:after="50" w:line="276" w:lineRule="auto"/>
      </w:pPr>
      <w:r>
        <w:rPr>
          <w:rFonts w:ascii="Times New Roman" w:hAnsi="Times New Roman" w:eastAsia="Times New Roman"/>
          <w:sz w:val="23"/>
          <w:szCs w:val="23"/>
        </w:rPr>
        <w:t xml:space="preserve">Ek-4: İSG kayıtları ve işe giriş/periyodik muayene kayıtları</w:t>
      </w:r>
    </w:p>
    <w:p>
      <w:pPr>
        <w:jc w:val="left"/>
        <w:spacing w:before="0" w:after="50" w:line="276" w:lineRule="auto"/>
      </w:pPr>
      <w:r>
        <w:rPr>
          <w:rFonts w:ascii="Times New Roman" w:hAnsi="Times New Roman" w:eastAsia="Times New Roman"/>
          <w:sz w:val="23"/>
          <w:szCs w:val="23"/>
        </w:rPr>
        <w:t xml:space="preserve">Ek-5: Tanıklar</w:t>
      </w:r>
    </w:p>
    <w:p>
      <w:pPr>
        <w:jc w:val="left"/>
        <w:spacing w:before="0" w:after="50" w:line="276" w:lineRule="auto"/>
      </w:pPr>
      <w:r>
        <w:rPr>
          <w:rFonts w:ascii="Times New Roman" w:hAnsi="Times New Roman" w:eastAsia="Times New Roman"/>
          <w:sz w:val="23"/>
          <w:szCs w:val="23"/>
        </w:rPr>
        <w:t xml:space="preserve">Ek-6: Bilirkişi / Adli Tıp incelemesi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Meslek Hastalığının Tespiti Dava Dilekçesi</dc:title>
  <dc:subject>Profesyonel örnek dilekçe – düzenlenebilir Word belgesi</dc:subject>
  <dc:creator>Av. Halil Bakırcı</dc:creator>
  <cp:lastModifiedBy>Av. Halil Bakırcı</cp:lastModifiedBy>
  <dcterms:created xsi:type="dcterms:W3CDTF">2026-09-10T22:17:54Z</dcterms:created>
  <dcterms:modified xsi:type="dcterms:W3CDTF">2026-09-10T22:17:54Z</dcterms:modified>
</cp:coreProperties>
</file>