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spacing w:before="0" w:after="100" w:line="276" w:lineRule="auto"/>
      </w:pPr>
      <w:r>
        <w:rPr>
          <w:rFonts w:ascii="Times New Roman" w:hAnsi="Times New Roman" w:eastAsia="Times New Roman"/>
          <w:b/>
          <w:sz w:val="18"/>
          <w:szCs w:val="18"/>
        </w:rPr>
        <w:t xml:space="preserve">PRO ÖRNEK DİLEKÇE — MIRAS ORTAKLIĞINA TEMSILCI ATANMASI DILEKÇESI</w:t>
      </w:r>
    </w:p>
    <w:p>
      <w:pPr>
        <w:jc w:val="center"/>
        <w:spacing w:before="120" w:after="220" w:line="276" w:lineRule="auto"/>
      </w:pPr>
      <w:r>
        <w:rPr>
          <w:rFonts w:ascii="Times New Roman" w:hAnsi="Times New Roman" w:eastAsia="Times New Roman"/>
          <w:b/>
          <w:sz w:val="25"/>
          <w:szCs w:val="25"/>
        </w:rPr>
        <w:t xml:space="preserve">[MİRASBIRAKANIN SON YERLEŞİM YERİ] SULH HUKUK MAHKEMESİ SAYIN HÂKİMLİĞİNE</w:t>
      </w:r>
    </w:p>
    <w:p>
      <w:pPr>
        <w:spacing w:after="60"/>
        <w:tabs>
          <w:tab w:val="left" w:pos="2700"/>
        </w:tabs>
      </w:pPr>
      <w:r>
        <w:rPr>
          <w:rFonts w:ascii="Times New Roman" w:hAnsi="Times New Roman" w:eastAsia="Times New Roman"/>
          <w:b/>
          <w:sz w:val="23"/>
          <w:szCs w:val="23"/>
        </w:rPr>
        <w:t xml:space="preserve">TALEPTE BULUNAN MİRASÇI	: </w:t>
      </w:r>
      <w:r>
        <w:rPr>
          <w:rFonts w:ascii="Times New Roman" w:hAnsi="Times New Roman" w:eastAsia="Times New Roman"/>
          <w:sz w:val="23"/>
          <w:szCs w:val="23"/>
        </w:rPr>
        <w:t xml:space="preserve">[AD SOYAD]</w:t>
      </w:r>
    </w:p>
    <w:p>
      <w:pPr>
        <w:spacing w:after="60"/>
        <w:tabs>
          <w:tab w:val="left" w:pos="2700"/>
        </w:tabs>
      </w:pPr>
      <w:r>
        <w:rPr>
          <w:rFonts w:ascii="Times New Roman" w:hAnsi="Times New Roman" w:eastAsia="Times New Roman"/>
          <w:b/>
          <w:sz w:val="23"/>
          <w:szCs w:val="23"/>
        </w:rPr>
        <w:t xml:space="preserve">VEKİLİ	: </w:t>
      </w:r>
      <w:r>
        <w:rPr>
          <w:rFonts w:ascii="Times New Roman" w:hAnsi="Times New Roman" w:eastAsia="Times New Roman"/>
          <w:sz w:val="23"/>
          <w:szCs w:val="23"/>
        </w:rPr>
        <w:t xml:space="preserve">Av. Halil Bakırcı</w:t>
      </w:r>
    </w:p>
    <w:p>
      <w:pPr>
        <w:spacing w:after="60"/>
        <w:tabs>
          <w:tab w:val="left" w:pos="2700"/>
        </w:tabs>
      </w:pPr>
      <w:r>
        <w:rPr>
          <w:rFonts w:ascii="Times New Roman" w:hAnsi="Times New Roman" w:eastAsia="Times New Roman"/>
          <w:b/>
          <w:sz w:val="23"/>
          <w:szCs w:val="23"/>
        </w:rPr>
        <w:t xml:space="preserve">DİĞER MİRASÇILAR	: </w:t>
      </w:r>
      <w:r>
        <w:rPr>
          <w:rFonts w:ascii="Times New Roman" w:hAnsi="Times New Roman" w:eastAsia="Times New Roman"/>
          <w:sz w:val="23"/>
          <w:szCs w:val="23"/>
        </w:rPr>
        <w:t xml:space="preserve">[AD SOYAD LİSTESİ]</w:t>
      </w:r>
    </w:p>
    <w:p>
      <w:pPr>
        <w:spacing w:after="60"/>
        <w:tabs>
          <w:tab w:val="left" w:pos="2700"/>
        </w:tabs>
      </w:pPr>
      <w:r>
        <w:rPr>
          <w:rFonts w:ascii="Times New Roman" w:hAnsi="Times New Roman" w:eastAsia="Times New Roman"/>
          <w:b/>
          <w:sz w:val="23"/>
          <w:szCs w:val="23"/>
        </w:rPr>
        <w:t xml:space="preserve">MİRASBIRAKAN	: </w:t>
      </w:r>
      <w:r>
        <w:rPr>
          <w:rFonts w:ascii="Times New Roman" w:hAnsi="Times New Roman" w:eastAsia="Times New Roman"/>
          <w:sz w:val="23"/>
          <w:szCs w:val="23"/>
        </w:rPr>
        <w:t xml:space="preserve">[AD SOYAD]</w:t>
      </w:r>
    </w:p>
    <w:p>
      <w:pPr>
        <w:spacing w:after="60"/>
        <w:tabs>
          <w:tab w:val="left" w:pos="2700"/>
        </w:tabs>
      </w:pPr>
      <w:r>
        <w:rPr>
          <w:rFonts w:ascii="Times New Roman" w:hAnsi="Times New Roman" w:eastAsia="Times New Roman"/>
          <w:b/>
          <w:sz w:val="23"/>
          <w:szCs w:val="23"/>
        </w:rPr>
        <w:t xml:space="preserve">KONU	: </w:t>
      </w:r>
      <w:r>
        <w:rPr>
          <w:rFonts w:ascii="Times New Roman" w:hAnsi="Times New Roman" w:eastAsia="Times New Roman"/>
          <w:sz w:val="23"/>
          <w:szCs w:val="23"/>
        </w:rPr>
        <w:t xml:space="preserve">Miras ortaklığının yönetim ve temsilinde uyuşmazlık bulunması nedeniyle TMK m.640 kapsamında terekeye temsilci atanması talebidir.</w:t>
      </w:r>
    </w:p>
    <w:p>
      <w:pPr>
        <w:jc w:val="left"/>
        <w:spacing w:before="180" w:after="80" w:line="276" w:lineRule="auto"/>
      </w:pPr>
      <w:r>
        <w:rPr>
          <w:rFonts w:ascii="Times New Roman" w:hAnsi="Times New Roman" w:eastAsia="Times New Roman"/>
          <w:b/>
          <w:sz w:val="23"/>
          <w:szCs w:val="23"/>
        </w:rPr>
        <w:t xml:space="preserve">USUL / KULLANIM NOTU</w:t>
      </w:r>
    </w:p>
    <w:p>
      <w:pPr>
        <w:jc w:val="both"/>
        <w:spacing w:before="0" w:after="120" w:line="276" w:lineRule="auto"/>
      </w:pPr>
      <w:r>
        <w:rPr>
          <w:rFonts w:ascii="Times New Roman" w:hAnsi="Times New Roman" w:eastAsia="Times New Roman"/>
          <w:sz w:val="23"/>
          <w:szCs w:val="23"/>
        </w:rPr>
        <w:t xml:space="preserve">Temsilci atanması olağan yönetim sorunlarını çözmek için kullanılır; miras paylaşımı veya ortaklığın giderilmesinin yerine geçmez. Temsil görevinin kapsamı açık belirlenmelidir.</w:t>
      </w:r>
    </w:p>
    <w:p>
      <w:pPr>
        <w:jc w:val="left"/>
        <w:spacing w:before="180" w:after="80" w:line="276" w:lineRule="auto"/>
      </w:pPr>
      <w:r>
        <w:rPr>
          <w:rFonts w:ascii="Times New Roman" w:hAnsi="Times New Roman" w:eastAsia="Times New Roman"/>
          <w:b/>
          <w:sz w:val="23"/>
          <w:szCs w:val="23"/>
        </w:rPr>
        <w:t xml:space="preserve">AÇIKLAMALAR</w:t>
      </w:r>
    </w:p>
    <w:p>
      <w:pPr>
        <w:jc w:val="both"/>
        <w:spacing w:before="0" w:after="130" w:line="276" w:lineRule="auto"/>
        <w:ind w:firstLine="360"/>
      </w:pPr>
      <w:r>
        <w:rPr>
          <w:rFonts w:ascii="Times New Roman" w:hAnsi="Times New Roman" w:eastAsia="Times New Roman"/>
          <w:sz w:val="23"/>
          <w:szCs w:val="23"/>
        </w:rPr>
        <w:t xml:space="preserve">1. Mirasbırakan [AD SOYAD] [ÖLÜM TARİHİ] tarihinde vefat etmiş; tereke [TAŞINMAZ/ŞİRKET/BANKA/ALACAK] unsurlarından oluşmaktadır. Mirasçılar birlikte hareket edememektedir. Bu vakıanın dosyadaki maddi karşılığı, ekli belgeler ve gerektiğinde ilgili kurumdan getirilecek kayıtlarla denetlenebilir durumdadır.</w:t>
      </w:r>
    </w:p>
    <w:p>
      <w:pPr>
        <w:jc w:val="both"/>
        <w:spacing w:before="0" w:after="130" w:line="276" w:lineRule="auto"/>
        <w:ind w:firstLine="360"/>
      </w:pPr>
      <w:r>
        <w:rPr>
          <w:rFonts w:ascii="Times New Roman" w:hAnsi="Times New Roman" w:eastAsia="Times New Roman"/>
          <w:sz w:val="23"/>
          <w:szCs w:val="23"/>
        </w:rPr>
        <w:t xml:space="preserve">2. Özellikle [KİRA TAHSİLİ, VERGİ ÖDEMESİ, DAVA TAKİBİ, ŞİRKET PAYI YÖNETİMİ] gibi zorunlu işlemler mirasçılar arasındaki anlaşmazlık nedeniyle yapılamamakta ve tereke zarara uğrama riski taşımaktadır. Anlatılan husus, talep sonucuna doğrudan etkili olduğundan tarih ve belge bağlantısı korunarak mahkemenin değerlendirmesine sunulmaktadır.</w:t>
      </w:r>
    </w:p>
    <w:p>
      <w:pPr>
        <w:jc w:val="both"/>
        <w:spacing w:before="0" w:after="130" w:line="276" w:lineRule="auto"/>
        <w:ind w:firstLine="360"/>
      </w:pPr>
      <w:r>
        <w:rPr>
          <w:rFonts w:ascii="Times New Roman" w:hAnsi="Times New Roman" w:eastAsia="Times New Roman"/>
          <w:sz w:val="23"/>
          <w:szCs w:val="23"/>
        </w:rPr>
        <w:t xml:space="preserve">3. Atanacak temsilcinin görevi [BELİRLİ İŞLER/TÜM TEREKE YÖNETİMİ] ile sınırlandırılabilir. Hesap verme, tahsilat ve ödeme kayıtlarının mahkeme denetimine elverişli tutulması talep edilmektedir. Karşı tarafın aksi yöndeki olası beyanlarının soyut kalmaması için bu olayın objektif kayıtlarla karşılaştırılması gerekmektedir.</w:t>
      </w:r>
    </w:p>
    <w:p>
      <w:pPr>
        <w:jc w:val="both"/>
        <w:spacing w:before="0" w:after="130" w:line="276" w:lineRule="auto"/>
        <w:ind w:firstLine="360"/>
      </w:pPr>
      <w:r>
        <w:rPr>
          <w:rFonts w:ascii="Times New Roman" w:hAnsi="Times New Roman" w:eastAsia="Times New Roman"/>
          <w:sz w:val="23"/>
          <w:szCs w:val="23"/>
        </w:rPr>
        <w:t xml:space="preserve">4. Talepte bulunanın amacı diğer mirasçıların payını ortadan kaldırmak değil; terekenin korunması ve ortak yarar için zorunlu işlemlerin düzenli yürütülmesini sağlamaktır. Belge asılları veya doğrulanabilir elektronik kayıtlar gerektiğinde ibraz edilecek; delilin kaynağı ve bütünlüğü korunacaktır.</w:t>
      </w:r>
    </w:p>
    <w:p>
      <w:pPr>
        <w:jc w:val="both"/>
        <w:spacing w:before="0" w:after="130" w:line="276" w:lineRule="auto"/>
        <w:ind w:firstLine="360"/>
      </w:pPr>
      <w:r>
        <w:rPr>
          <w:rFonts w:ascii="Times New Roman" w:hAnsi="Times New Roman" w:eastAsia="Times New Roman"/>
          <w:sz w:val="23"/>
          <w:szCs w:val="23"/>
        </w:rPr>
        <w:t xml:space="preserve">5. Miras uyuşmazlıklarında mirasbırakanın ölüm tarihi, son yerleşim yeri, mirasçı listesi ve tereke unsurları temel kayıtlardır. Nüfus, tapu, banka, araç ve ticaret sicili kayıtları kurum bazında celp edilerek terekenin veya mirasçılık durumunun eksiksiz belirlenmesi sağlanmalıdır.</w:t>
      </w:r>
    </w:p>
    <w:p>
      <w:pPr>
        <w:jc w:val="both"/>
        <w:spacing w:before="0" w:after="130" w:line="276" w:lineRule="auto"/>
        <w:ind w:firstLine="360"/>
      </w:pPr>
      <w:r>
        <w:rPr>
          <w:rFonts w:ascii="Times New Roman" w:hAnsi="Times New Roman" w:eastAsia="Times New Roman"/>
          <w:sz w:val="23"/>
          <w:szCs w:val="23"/>
        </w:rPr>
        <w:t xml:space="preserve">6. Mirasçılık belgesi, tereke tespiti, resmî defter, mirasın reddi, temsilci atanması ve ortaklığın giderilmesi birbirinden farklı hukuki kurumlardır. Dilekçe yalnız hedeflenen işlemi talep etmeli ve diğer yollarla karıştırılmamalıdır.</w:t>
      </w:r>
    </w:p>
    <w:p>
      <w:pPr>
        <w:jc w:val="both"/>
        <w:spacing w:before="0" w:after="130" w:line="276" w:lineRule="auto"/>
        <w:ind w:firstLine="360"/>
      </w:pPr>
      <w:r>
        <w:rPr>
          <w:rFonts w:ascii="Times New Roman" w:hAnsi="Times New Roman" w:eastAsia="Times New Roman"/>
          <w:sz w:val="23"/>
          <w:szCs w:val="23"/>
        </w:rPr>
        <w:t xml:space="preserve">7. Tüm mirasçıların taraf/ilgili sıfatı ile tebligat adresleri kontrol edilmeli; pay oranına etki eden soybağı, evlilik, evlat edinme veya vasiyetname kayıtları dosyaya eksiksiz alınmalıdır.</w:t>
      </w:r>
    </w:p>
    <w:p>
      <w:pPr>
        <w:jc w:val="both"/>
        <w:spacing w:before="0" w:after="130" w:line="276" w:lineRule="auto"/>
        <w:ind w:firstLine="360"/>
      </w:pPr>
      <w:r>
        <w:rPr>
          <w:rFonts w:ascii="Times New Roman" w:hAnsi="Times New Roman" w:eastAsia="Times New Roman"/>
          <w:sz w:val="23"/>
          <w:szCs w:val="23"/>
        </w:rPr>
        <w:t xml:space="preserve">8. Görev ve usul bakımından bu örnek [MİRASBIRAKANIN SON YERLEŞİM YERİ] SULH HUKUK MAHKEMESİ SAYIN HÂKİMLİĞİNE hitabıyla kurulmuştur. Somut dosyanın yetkili yeri, taraf sıfatı, dava şartı ve ön başvuru koşulları dosya belgeleri üzerinden ayrıca kontrol edilmelidir. Temsilci atanması olağan yönetim sorunlarını çözmek için kullanılır; miras paylaşımı veya ortaklığın giderilmesinin yerine geçmez. Temsil görevinin kapsamı açık belirlenmelidir. Dilekçe verilmeden önce tebligat/öğrenme tarihi ile varsa arabuluculuk, idari başvuru, kanun yolu veya soruşturma-kovuşturma aşaması dosya kaydıyla doğrulanmalıdır.</w:t>
      </w:r>
    </w:p>
    <w:p>
      <w:pPr>
        <w:jc w:val="both"/>
        <w:spacing w:before="0" w:after="130" w:line="276" w:lineRule="auto"/>
        <w:ind w:firstLine="360"/>
      </w:pPr>
      <w:r>
        <w:rPr>
          <w:rFonts w:ascii="Times New Roman" w:hAnsi="Times New Roman" w:eastAsia="Times New Roman"/>
          <w:sz w:val="23"/>
          <w:szCs w:val="23"/>
        </w:rPr>
        <w:t xml:space="preserve">9. İspat planı bakımından öncelikli deliller Mirasçılık belgesi, Nüfus ve ölüm kayıtları, Tereke malvarlığı belgeleri, Mirasçılar arası yazışmalar/tutanaklar olarak belirlenmiştir. Her delilin dilekçedeki belirli bir vakıayı ispatlaması amaçlanmalı; başka kurumda bulunan kayıt için kurum adı, kayıt dönemi ve istenen veri açıkça yazılmalıdır. Elektronik delillerde ekran görüntüsünün yanında kaynağın aslı, zaman bilgisi ve doğrulanabilirlik unsurları korunmalıdır.</w:t>
      </w:r>
    </w:p>
    <w:p>
      <w:pPr>
        <w:jc w:val="both"/>
        <w:spacing w:before="0" w:after="130" w:line="276" w:lineRule="auto"/>
        <w:ind w:firstLine="360"/>
      </w:pPr>
      <w:r>
        <w:rPr>
          <w:rFonts w:ascii="Times New Roman" w:hAnsi="Times New Roman" w:eastAsia="Times New Roman"/>
          <w:sz w:val="23"/>
          <w:szCs w:val="23"/>
        </w:rPr>
        <w:t xml:space="preserve">10. Savunma denetimi; dosya türüne göre süre, görev, yetki, taraf sıfatı, ödeme veya ifa, kusur, illiyet, delilin hukuka uygunluğu ve işlemin dayanağı başlıkları üzerinden yapılır. Miras Ortaklığına Temsilci Atanması Dilekçesi bakımından cevap verilecek savunma, yalnız genel hukuk cümleleriyle değil; kronoloji ve objektif kayıtlarla çürütülmelidir. Böylece mahkeme hangi çekişmeli olgunun hangi belgeyle aydınlatılacağını doğrudan görebilir.</w:t>
      </w:r>
    </w:p>
    <w:p>
      <w:pPr>
        <w:jc w:val="both"/>
        <w:spacing w:before="0" w:after="130" w:line="276" w:lineRule="auto"/>
        <w:ind w:firstLine="360"/>
      </w:pPr>
      <w:r>
        <w:rPr>
          <w:rFonts w:ascii="Times New Roman" w:hAnsi="Times New Roman" w:eastAsia="Times New Roman"/>
          <w:sz w:val="23"/>
          <w:szCs w:val="23"/>
        </w:rPr>
        <w:t xml:space="preserve">11. Talep sonucu, kararın infazında tereddüt yaratmayacak açıklıkta kurulmalıdır. Bu örnekte temel talepler şunlardır: TMK m.640/3 uyarınca miras ortaklığına temsilci atanmasına; Temsilcinin görev ve yetki kapsamının kararda açıkça belirlenmesine; Gerekli kurum kayıtlarının celbine. Somut dosyada asıl ve fer'î talepler ayrılmalı; para alacağı varsa tutar, faiz türü ve başlangıcı; iptal/tespit talebi varsa işlem veya hukuki ilişkinin tam kimliği; tedbir talebi varsa korunması istenen hakkın niteliği açıkça gösterilmelidir.</w:t>
      </w:r>
    </w:p>
    <w:p>
      <w:pPr>
        <w:jc w:val="both"/>
        <w:spacing w:before="0" w:after="130" w:line="276" w:lineRule="auto"/>
        <w:ind w:firstLine="360"/>
      </w:pPr>
      <w:r>
        <w:rPr>
          <w:rFonts w:ascii="Times New Roman" w:hAnsi="Times New Roman" w:eastAsia="Times New Roman"/>
          <w:sz w:val="23"/>
          <w:szCs w:val="23"/>
        </w:rPr>
        <w:t xml:space="preserve">12. Dilekçeye eklenecek her belge Ek-1, Ek-2 biçiminde numaralandırılmalı ve metin içinde ilk geçtiği yerde atıf yapılmalıdır. Sunulacak suretlerin okunaklı olması, yabancı dildeki belgelerin gerektiğinde usulüne uygun tercümesinin eklenmesi ve kişisel verilerin uyuşmazlıkla ilgisiz kısımlarının gereksiz yere yayılmaması dosya düzeni bakımından önemlidir.</w:t>
      </w:r>
    </w:p>
    <w:p>
      <w:pPr>
        <w:jc w:val="both"/>
        <w:spacing w:before="0" w:after="130" w:line="276" w:lineRule="auto"/>
        <w:ind w:firstLine="360"/>
      </w:pPr>
      <w:r>
        <w:rPr>
          <w:rFonts w:ascii="Times New Roman" w:hAnsi="Times New Roman" w:eastAsia="Times New Roman"/>
          <w:sz w:val="23"/>
          <w:szCs w:val="23"/>
        </w:rPr>
        <w:t xml:space="preserve">13. Somut dosyada miras ortaklığına temsilci atanması dilekçesi talebi yönünden görev, yetki, süre, dava şartı ve taraf sıfatı son kez kontrol edildikten sonra ekler numaralandırılmalı; sonuç ve istem bölümü yalnız gerçekten talep edilen hukuki sonuçları içermelidir. Dilekçe, vekâletname ve ekler arasında isim, tarih, tutar ve dosya numarası yönünden çelişki bırakılmamalıdır.</w:t>
      </w:r>
    </w:p>
    <w:p>
      <w:pPr>
        <w:jc w:val="left"/>
        <w:spacing w:before="180" w:after="80" w:line="276" w:lineRule="auto"/>
      </w:pPr>
      <w:r>
        <w:rPr>
          <w:rFonts w:ascii="Times New Roman" w:hAnsi="Times New Roman" w:eastAsia="Times New Roman"/>
          <w:b/>
          <w:sz w:val="23"/>
          <w:szCs w:val="23"/>
        </w:rPr>
        <w:t xml:space="preserve">HUKUKİ NEDENLER</w:t>
      </w:r>
    </w:p>
    <w:p>
      <w:pPr>
        <w:jc w:val="both"/>
        <w:spacing w:before="0" w:after="120" w:line="276" w:lineRule="auto"/>
      </w:pPr>
      <w:r>
        <w:rPr>
          <w:rFonts w:ascii="Times New Roman" w:hAnsi="Times New Roman" w:eastAsia="Times New Roman"/>
          <w:sz w:val="23"/>
          <w:szCs w:val="23"/>
        </w:rPr>
        <w:t xml:space="preserve">4721 sayılı TMK m.640 özellikle m.640/3; 6100 sayılı HMK ve ilgili miras hükümleri.</w:t>
      </w:r>
    </w:p>
    <w:p>
      <w:pPr>
        <w:jc w:val="left"/>
        <w:spacing w:before="180" w:after="80" w:line="276" w:lineRule="auto"/>
      </w:pPr>
      <w:r>
        <w:rPr>
          <w:rFonts w:ascii="Times New Roman" w:hAnsi="Times New Roman" w:eastAsia="Times New Roman"/>
          <w:b/>
          <w:sz w:val="23"/>
          <w:szCs w:val="23"/>
        </w:rPr>
        <w:t xml:space="preserve">DELİLLER</w:t>
      </w:r>
    </w:p>
    <w:p>
      <w:pPr>
        <w:jc w:val="left"/>
        <w:spacing w:before="0" w:after="60" w:line="276" w:lineRule="auto"/>
      </w:pPr>
      <w:r>
        <w:rPr>
          <w:rFonts w:ascii="Times New Roman" w:hAnsi="Times New Roman" w:eastAsia="Times New Roman"/>
          <w:sz w:val="23"/>
          <w:szCs w:val="23"/>
        </w:rPr>
        <w:t xml:space="preserve">1. Mirasçılık belgesi</w:t>
      </w:r>
    </w:p>
    <w:p>
      <w:pPr>
        <w:jc w:val="left"/>
        <w:spacing w:before="0" w:after="60" w:line="276" w:lineRule="auto"/>
      </w:pPr>
      <w:r>
        <w:rPr>
          <w:rFonts w:ascii="Times New Roman" w:hAnsi="Times New Roman" w:eastAsia="Times New Roman"/>
          <w:sz w:val="23"/>
          <w:szCs w:val="23"/>
        </w:rPr>
        <w:t xml:space="preserve">2. Nüfus ve ölüm kayıtları</w:t>
      </w:r>
    </w:p>
    <w:p>
      <w:pPr>
        <w:jc w:val="left"/>
        <w:spacing w:before="0" w:after="60" w:line="276" w:lineRule="auto"/>
      </w:pPr>
      <w:r>
        <w:rPr>
          <w:rFonts w:ascii="Times New Roman" w:hAnsi="Times New Roman" w:eastAsia="Times New Roman"/>
          <w:sz w:val="23"/>
          <w:szCs w:val="23"/>
        </w:rPr>
        <w:t xml:space="preserve">3. Tereke malvarlığı belgeleri</w:t>
      </w:r>
    </w:p>
    <w:p>
      <w:pPr>
        <w:jc w:val="left"/>
        <w:spacing w:before="0" w:after="60" w:line="276" w:lineRule="auto"/>
      </w:pPr>
      <w:r>
        <w:rPr>
          <w:rFonts w:ascii="Times New Roman" w:hAnsi="Times New Roman" w:eastAsia="Times New Roman"/>
          <w:sz w:val="23"/>
          <w:szCs w:val="23"/>
        </w:rPr>
        <w:t xml:space="preserve">4. Mirasçılar arası yazışmalar/tutanaklar</w:t>
      </w:r>
    </w:p>
    <w:p>
      <w:pPr>
        <w:jc w:val="left"/>
        <w:spacing w:before="0" w:after="60" w:line="276" w:lineRule="auto"/>
      </w:pPr>
      <w:r>
        <w:rPr>
          <w:rFonts w:ascii="Times New Roman" w:hAnsi="Times New Roman" w:eastAsia="Times New Roman"/>
          <w:sz w:val="23"/>
          <w:szCs w:val="23"/>
        </w:rPr>
        <w:t xml:space="preserve">5. Acil yönetim ihtiyacını gösteren belgeler</w:t>
      </w:r>
    </w:p>
    <w:p>
      <w:pPr>
        <w:jc w:val="both"/>
        <w:spacing w:before="0" w:after="120" w:line="276" w:lineRule="auto"/>
      </w:pPr>
      <w:r>
        <w:rPr>
          <w:rFonts w:ascii="Times New Roman" w:hAnsi="Times New Roman" w:eastAsia="Times New Roman"/>
          <w:sz w:val="23"/>
          <w:szCs w:val="23"/>
        </w:rPr>
        <w:t xml:space="preserve">Her türlü yasal delil; karşı tarafın sunacağı delillere karşı delil sunma hakkımız saklıdır.</w:t>
      </w:r>
    </w:p>
    <w:p>
      <w:pPr>
        <w:jc w:val="left"/>
        <w:spacing w:before="180" w:after="80" w:line="276" w:lineRule="auto"/>
      </w:pPr>
      <w:r>
        <w:rPr>
          <w:rFonts w:ascii="Times New Roman" w:hAnsi="Times New Roman" w:eastAsia="Times New Roman"/>
          <w:b/>
          <w:sz w:val="23"/>
          <w:szCs w:val="23"/>
        </w:rPr>
        <w:t xml:space="preserve">SONUÇ VE İSTEM</w:t>
      </w:r>
    </w:p>
    <w:p>
      <w:pPr>
        <w:jc w:val="both"/>
        <w:spacing w:before="0" w:after="100" w:line="276" w:lineRule="auto"/>
      </w:pPr>
      <w:r>
        <w:rPr>
          <w:rFonts w:ascii="Times New Roman" w:hAnsi="Times New Roman" w:eastAsia="Times New Roman"/>
          <w:sz w:val="23"/>
          <w:szCs w:val="23"/>
        </w:rPr>
        <w:t xml:space="preserve">Yukarıda arz ve izah edilen nedenlerle ve Mahkemenizce re’sen gözetilecek hususlar saklı kalmak kaydıyla;</w:t>
      </w:r>
    </w:p>
    <w:p>
      <w:pPr>
        <w:jc w:val="both"/>
        <w:spacing w:before="0" w:after="60" w:line="276" w:lineRule="auto"/>
      </w:pPr>
      <w:r>
        <w:rPr>
          <w:rFonts w:ascii="Times New Roman" w:hAnsi="Times New Roman" w:eastAsia="Times New Roman"/>
          <w:sz w:val="23"/>
          <w:szCs w:val="23"/>
        </w:rPr>
        <w:t xml:space="preserve">1. TMK m.640/3 uyarınca miras ortaklığına temsilci atanmasına,</w:t>
      </w:r>
    </w:p>
    <w:p>
      <w:pPr>
        <w:jc w:val="both"/>
        <w:spacing w:before="0" w:after="60" w:line="276" w:lineRule="auto"/>
      </w:pPr>
      <w:r>
        <w:rPr>
          <w:rFonts w:ascii="Times New Roman" w:hAnsi="Times New Roman" w:eastAsia="Times New Roman"/>
          <w:sz w:val="23"/>
          <w:szCs w:val="23"/>
        </w:rPr>
        <w:t xml:space="preserve">2. Temsilcinin görev ve yetki kapsamının kararda açıkça belirlenmesine,</w:t>
      </w:r>
    </w:p>
    <w:p>
      <w:pPr>
        <w:jc w:val="both"/>
        <w:spacing w:before="0" w:after="60" w:line="276" w:lineRule="auto"/>
      </w:pPr>
      <w:r>
        <w:rPr>
          <w:rFonts w:ascii="Times New Roman" w:hAnsi="Times New Roman" w:eastAsia="Times New Roman"/>
          <w:sz w:val="23"/>
          <w:szCs w:val="23"/>
        </w:rPr>
        <w:t xml:space="preserve">3. Gerekli kurum kayıtlarının celbine,</w:t>
      </w:r>
    </w:p>
    <w:p>
      <w:pPr>
        <w:jc w:val="both"/>
        <w:spacing w:before="0" w:after="60" w:line="276" w:lineRule="auto"/>
      </w:pPr>
      <w:r>
        <w:rPr>
          <w:rFonts w:ascii="Times New Roman" w:hAnsi="Times New Roman" w:eastAsia="Times New Roman"/>
          <w:sz w:val="23"/>
          <w:szCs w:val="23"/>
        </w:rPr>
        <w:t xml:space="preserve">4. Yargılama giderlerinin niteliğine göre karara bağlanmasına,</w:t>
      </w:r>
    </w:p>
    <w:p>
      <w:pPr>
        <w:jc w:val="both"/>
        <w:spacing w:before="0" w:after="220" w:line="276" w:lineRule="auto"/>
      </w:pPr>
      <w:r>
        <w:rPr>
          <w:rFonts w:ascii="Times New Roman" w:hAnsi="Times New Roman" w:eastAsia="Times New Roman"/>
          <w:sz w:val="23"/>
          <w:szCs w:val="23"/>
        </w:rPr>
        <w:t xml:space="preserve">karar verilmesini saygıyla vekâleten arz ve talep ederiz. [TARİH]</w:t>
      </w:r>
    </w:p>
    <w:p>
      <w:pPr>
        <w:jc w:val="right"/>
        <w:spacing w:before="0" w:after="200" w:line="276" w:lineRule="auto"/>
      </w:pPr>
      <w:r>
        <w:rPr>
          <w:rFonts w:ascii="Times New Roman" w:hAnsi="Times New Roman" w:eastAsia="Times New Roman"/>
          <w:b/>
          <w:sz w:val="23"/>
          <w:szCs w:val="23"/>
        </w:rPr>
        <w:t xml:space="preserve">Talepte Bulunan Mirasçı Vekili</w:t>
      </w:r>
      <w:r>
        <w:br/>
      </w:r>
      <w:r>
        <w:rPr>
          <w:rFonts w:ascii="Times New Roman" w:hAnsi="Times New Roman" w:eastAsia="Times New Roman"/>
          <w:b/>
          <w:sz w:val="23"/>
          <w:szCs w:val="23"/>
        </w:rPr>
        <w:t xml:space="preserve">Av. Halil Bakırcı</w:t>
      </w:r>
      <w:r>
        <w:br/>
      </w:r>
      <w:r>
        <w:rPr>
          <w:rFonts w:ascii="Times New Roman" w:hAnsi="Times New Roman" w:eastAsia="Times New Roman"/>
          <w:b/>
          <w:sz w:val="23"/>
          <w:szCs w:val="23"/>
        </w:rPr>
        <w:t xml:space="preserve">(E-İMZALIDIR / Islak imza gerektiren kullanımda imzalanır)</w:t>
      </w:r>
    </w:p>
    <w:p>
      <w:pPr>
        <w:jc w:val="left"/>
        <w:spacing w:before="180" w:after="80" w:line="276" w:lineRule="auto"/>
      </w:pPr>
      <w:r>
        <w:rPr>
          <w:rFonts w:ascii="Times New Roman" w:hAnsi="Times New Roman" w:eastAsia="Times New Roman"/>
          <w:b/>
          <w:sz w:val="23"/>
          <w:szCs w:val="23"/>
        </w:rPr>
        <w:t xml:space="preserve">EKLER</w:t>
      </w:r>
    </w:p>
    <w:p>
      <w:pPr>
        <w:jc w:val="left"/>
        <w:spacing w:before="0" w:after="50" w:line="276" w:lineRule="auto"/>
      </w:pPr>
      <w:r>
        <w:rPr>
          <w:rFonts w:ascii="Times New Roman" w:hAnsi="Times New Roman" w:eastAsia="Times New Roman"/>
          <w:sz w:val="23"/>
          <w:szCs w:val="23"/>
        </w:rPr>
        <w:t xml:space="preserve">Ek-1: Mirasçılık belgesi</w:t>
      </w:r>
    </w:p>
    <w:p>
      <w:pPr>
        <w:jc w:val="left"/>
        <w:spacing w:before="0" w:after="50" w:line="276" w:lineRule="auto"/>
      </w:pPr>
      <w:r>
        <w:rPr>
          <w:rFonts w:ascii="Times New Roman" w:hAnsi="Times New Roman" w:eastAsia="Times New Roman"/>
          <w:sz w:val="23"/>
          <w:szCs w:val="23"/>
        </w:rPr>
        <w:t xml:space="preserve">Ek-2: Nüfus ve ölüm kayıtları</w:t>
      </w:r>
    </w:p>
    <w:p>
      <w:pPr>
        <w:jc w:val="left"/>
        <w:spacing w:before="0" w:after="50" w:line="276" w:lineRule="auto"/>
      </w:pPr>
      <w:r>
        <w:rPr>
          <w:rFonts w:ascii="Times New Roman" w:hAnsi="Times New Roman" w:eastAsia="Times New Roman"/>
          <w:sz w:val="23"/>
          <w:szCs w:val="23"/>
        </w:rPr>
        <w:t xml:space="preserve">Ek-3: Tereke malvarlığı belgeleri</w:t>
      </w:r>
    </w:p>
    <w:p>
      <w:pPr>
        <w:jc w:val="left"/>
        <w:spacing w:before="0" w:after="50" w:line="276" w:lineRule="auto"/>
      </w:pPr>
      <w:r>
        <w:rPr>
          <w:rFonts w:ascii="Times New Roman" w:hAnsi="Times New Roman" w:eastAsia="Times New Roman"/>
          <w:sz w:val="23"/>
          <w:szCs w:val="23"/>
        </w:rPr>
        <w:t xml:space="preserve">Ek-4: Mirasçılar arası yazışmalar/tutanaklar</w:t>
      </w:r>
    </w:p>
    <w:p>
      <w:pPr>
        <w:jc w:val="left"/>
        <w:spacing w:before="0" w:after="50" w:line="276" w:lineRule="auto"/>
      </w:pPr>
      <w:r>
        <w:rPr>
          <w:rFonts w:ascii="Times New Roman" w:hAnsi="Times New Roman" w:eastAsia="Times New Roman"/>
          <w:sz w:val="23"/>
          <w:szCs w:val="23"/>
        </w:rPr>
        <w:t xml:space="preserve">Ek-5: Acil yönetim ihtiyacını gösteren belgeler</w:t>
      </w:r>
    </w:p>
    <w:p>
      <w:r>
        <w:br w:type="page"/>
      </w:r>
    </w:p>
    <w:p>
      <w:pPr>
        <w:jc w:val="center"/>
        <w:spacing w:before="0" w:after="160" w:line="276" w:lineRule="auto"/>
      </w:pPr>
      <w:r>
        <w:rPr>
          <w:rFonts w:ascii="Times New Roman" w:hAnsi="Times New Roman" w:eastAsia="Times New Roman"/>
          <w:b/>
          <w:sz w:val="24"/>
          <w:szCs w:val="24"/>
        </w:rPr>
        <w:t xml:space="preserve">DOSYAYA UYARLAMA VE SON KONTROL SAYFASI</w:t>
      </w:r>
    </w:p>
    <w:p>
      <w:pPr>
        <w:jc w:val="both"/>
        <w:spacing w:before="0" w:after="140" w:line="276" w:lineRule="auto"/>
      </w:pPr>
      <w:r>
        <w:rPr>
          <w:rFonts w:ascii="Times New Roman" w:hAnsi="Times New Roman" w:eastAsia="Times New Roman"/>
          <w:sz w:val="23"/>
          <w:szCs w:val="23"/>
        </w:rPr>
        <w:t xml:space="preserve">Bu sayfa mahkemeye sunulmaz. Dilekçe örneğini kullanmadan önce aşağıdaki alanları gerçek dosya bilgileriyle değiştirin ve görev, yetki, süre, dava şartı ile vekâlet ilişkisini doğrulayın.</w:t>
      </w:r>
    </w:p>
    <w:p>
      <w:pPr>
        <w:jc w:val="left"/>
        <w:spacing w:before="0" w:after="70" w:line="276" w:lineRule="auto"/>
      </w:pPr>
      <w:r>
        <w:rPr>
          <w:rFonts w:ascii="Times New Roman" w:hAnsi="Times New Roman" w:eastAsia="Times New Roman"/>
          <w:sz w:val="22"/>
          <w:szCs w:val="22"/>
        </w:rPr>
        <w:t xml:space="preserve">☐ Mahkeme/merci adı ve yetkili yer gerçek dosyaya göre düzeltildi.</w:t>
      </w:r>
    </w:p>
    <w:p>
      <w:pPr>
        <w:jc w:val="left"/>
        <w:spacing w:before="0" w:after="70" w:line="276" w:lineRule="auto"/>
      </w:pPr>
      <w:r>
        <w:rPr>
          <w:rFonts w:ascii="Times New Roman" w:hAnsi="Times New Roman" w:eastAsia="Times New Roman"/>
          <w:sz w:val="22"/>
          <w:szCs w:val="22"/>
        </w:rPr>
        <w:t xml:space="preserve">☐ Esas/karar, icra, başvuru ve işlem numaraları gerçek kayıtlarla eşleştirildi.</w:t>
      </w:r>
    </w:p>
    <w:p>
      <w:pPr>
        <w:jc w:val="left"/>
        <w:spacing w:before="0" w:after="70" w:line="276" w:lineRule="auto"/>
      </w:pPr>
      <w:r>
        <w:rPr>
          <w:rFonts w:ascii="Times New Roman" w:hAnsi="Times New Roman" w:eastAsia="Times New Roman"/>
          <w:sz w:val="22"/>
          <w:szCs w:val="22"/>
        </w:rPr>
        <w:t xml:space="preserve">☐ Taraf adları, T.C. kimlik/vergi numaraları ve tebligat adresleri kontrol edildi.</w:t>
      </w:r>
    </w:p>
    <w:p>
      <w:pPr>
        <w:jc w:val="left"/>
        <w:spacing w:before="0" w:after="70" w:line="276" w:lineRule="auto"/>
      </w:pPr>
      <w:r>
        <w:rPr>
          <w:rFonts w:ascii="Times New Roman" w:hAnsi="Times New Roman" w:eastAsia="Times New Roman"/>
          <w:sz w:val="22"/>
          <w:szCs w:val="22"/>
        </w:rPr>
        <w:t xml:space="preserve">☐ Tarih, tutar, faiz başlangıcı ve süre hesabı tebliğ/öğrenme belgelerine göre yapıldı.</w:t>
      </w:r>
    </w:p>
    <w:p>
      <w:pPr>
        <w:jc w:val="left"/>
        <w:spacing w:before="0" w:after="70" w:line="276" w:lineRule="auto"/>
      </w:pPr>
      <w:r>
        <w:rPr>
          <w:rFonts w:ascii="Times New Roman" w:hAnsi="Times New Roman" w:eastAsia="Times New Roman"/>
          <w:sz w:val="22"/>
          <w:szCs w:val="22"/>
        </w:rPr>
        <w:t xml:space="preserve">☐ Her olayın karşısında onu ispatlayan belge veya celp talebi bulunuyor.</w:t>
      </w:r>
    </w:p>
    <w:p>
      <w:pPr>
        <w:jc w:val="left"/>
        <w:spacing w:before="0" w:after="70" w:line="276" w:lineRule="auto"/>
      </w:pPr>
      <w:r>
        <w:rPr>
          <w:rFonts w:ascii="Times New Roman" w:hAnsi="Times New Roman" w:eastAsia="Times New Roman"/>
          <w:sz w:val="22"/>
          <w:szCs w:val="22"/>
        </w:rPr>
        <w:t xml:space="preserve">☐ Ekler numaralandırıldı; elektronik belgelerin asılları ve doğrulama bilgileri korundu.</w:t>
      </w:r>
    </w:p>
    <w:p>
      <w:pPr>
        <w:jc w:val="left"/>
        <w:spacing w:before="0" w:after="70" w:line="276" w:lineRule="auto"/>
      </w:pPr>
      <w:r>
        <w:rPr>
          <w:rFonts w:ascii="Times New Roman" w:hAnsi="Times New Roman" w:eastAsia="Times New Roman"/>
          <w:sz w:val="22"/>
          <w:szCs w:val="22"/>
        </w:rPr>
        <w:t xml:space="preserve">☐ Sonuç ve istem, yalnız gerçekten talep edilen hukuki sonuçları içeriyor.</w:t>
      </w:r>
    </w:p>
    <w:p>
      <w:pPr>
        <w:jc w:val="left"/>
        <w:spacing w:before="0" w:after="70" w:line="276" w:lineRule="auto"/>
      </w:pPr>
      <w:r>
        <w:rPr>
          <w:rFonts w:ascii="Times New Roman" w:hAnsi="Times New Roman" w:eastAsia="Times New Roman"/>
          <w:sz w:val="22"/>
          <w:szCs w:val="22"/>
        </w:rPr>
        <w:t xml:space="preserve">☐ “Vekili Av. Halil Bakırcı” ibaresi yalnız gerçek vekâlet ilişkisi ve geçerli vekâletname varsa somut başvuruda vekil sıfatıyla kullanılmalıdır.</w:t>
      </w:r>
    </w:p>
    <w:p>
      <w:pPr>
        <w:jc w:val="left"/>
        <w:spacing w:before="120" w:after="70" w:line="276" w:lineRule="auto"/>
      </w:pPr>
      <w:r>
        <w:rPr>
          <w:rFonts w:ascii="Times New Roman" w:hAnsi="Times New Roman" w:eastAsia="Times New Roman"/>
          <w:b/>
          <w:sz w:val="21"/>
          <w:szCs w:val="21"/>
        </w:rPr>
        <w:t xml:space="preserve">Belge kaynağı: halilbakirci.av.tr — Bakırcı &amp; Keskin Hukuk Bürosu</w:t>
      </w:r>
    </w:p>
    <w:p>
      <w:pPr>
        <w:jc w:val="left"/>
        <w:spacing w:before="0" w:after="70" w:line="276" w:lineRule="auto"/>
      </w:pPr>
      <w:r>
        <w:rPr>
          <w:rFonts w:ascii="Times New Roman" w:hAnsi="Times New Roman" w:eastAsia="Times New Roman"/>
          <w:b/>
          <w:sz w:val="21"/>
          <w:szCs w:val="21"/>
        </w:rPr>
        <w:t xml:space="preserve">Hazırlayan / hukuki inceleme: Av. Halil Bakırcı, Mersin Barosu Sicil No: 3472</w:t>
      </w:r>
    </w:p>
    <w:sectPr>
      <w:footerReference w:type="default" r:id="rId2"/>
      <w:pgSz w:w="11906" w:h="16838"/>
      <w:pgMar w:top="1247" w:right="1134" w:bottom="1134" w:left="1417" w:header="454" w:footer="454" w:gutter="0"/>
    </w:sectPr>
  </w:body>
</w:document>
</file>

<file path=word/footer1.xml><?xml version="1.0" encoding="utf-8"?>
<w:ftr xmlns:w="http://schemas.openxmlformats.org/wordprocessingml/2006/main">
  <w:p>
    <w:pPr>
      <w:jc w:val="center"/>
    </w:pPr>
    <w:r>
      <w:rPr>
        <w:rFonts w:ascii="Times New Roman" w:hAnsi="Times New Roman" w:eastAsia="Times New Roman"/>
        <w:sz w:val="16"/>
        <w:szCs w:val="16"/>
      </w:rPr>
      <w:t xml:space="preserve">Örnek Dilekçe • Av. Halil Bakırcı • Mersin Barosu Sicil No: 3472 • halilbakirci.av.tr • Sayfa </w:t>
    </w:r>
    <w:r>
      <w:rPr>
        <w:rFonts w:ascii="Times New Roman" w:hAnsi="Times New Roman"/>
        <w:sz w:val="16"/>
      </w:rPr>
      <w:fldChar w:fldCharType="begin"/>
    </w:r>
    <w:r>
      <w:instrText xml:space="preserve"> PAGE </w:instrText>
    </w:r>
    <w:r>
      <w:fldChar w:fldCharType="end"/>
    </w:r>
  </w:p>
</w:ftr>
</file>

<file path=word/styles.xml><?xml version="1.0" encoding="utf-8"?>
<w:styles xmlns:w="http://schemas.openxmlformats.org/wordprocessingml/2006/main">
  <w:docDefaults>
    <w:rPrDefault>
      <w:rPr>
        <w:rFonts w:ascii="Times New Roman" w:hAnsi="Times New Roman" w:eastAsia="Times New Roman"/>
        <w:sz w:val="23"/>
        <w:szCs w:val="23"/>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Application>Microsoft Office Word</Application>
  <Company>Bakırcı &amp; Keskin Hukuk Bürosu</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Miras Ortaklığına Temsilci Atanması Dilekçesi</dc:title>
  <dc:subject>Profesyonel örnek dilekçe – düzenlenebilir Word belgesi</dc:subject>
  <dc:creator>Av. Halil Bakırcı</dc:creator>
  <cp:lastModifiedBy>Av. Halil Bakırcı</cp:lastModifiedBy>
  <dcterms:created xsi:type="dcterms:W3CDTF">2026-09-10T22:28:10Z</dcterms:created>
  <dcterms:modified xsi:type="dcterms:W3CDTF">2026-09-10T22:28:10Z</dcterms:modified>
</cp:coreProperties>
</file>