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İŞYERINDE MOBBING NEDENIYLE MANEVI TAZMINAT DAVA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İŞIN YAPILDIĞI YER VEYA DAVALI IŞVERENIN YERLEŞIM YERINDEKI İŞ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DAVACI/İŞÇİ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DAVALI/İŞVEREN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Sistematik psikolojik taciz nedeniyle maddi ve manevi tazminat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tBK m.417, işverene işçinin kişiliğini koruma ve psikolojik tacizi önleme borcu yükler. Mobbing iddiası tarih, kişi, söz, işlem, tanık ve sonuçlarıyla olay çizelgesi hâline getirilmelidir.</w:t>
      </w:r>
    </w:p>
    <w:p>
      <w:pPr/>
      <w:r>
        <w:rPr>
          <w:b/>
        </w:rPr>
        <w:t xml:space="preserve">2. </w:t>
      </w:r>
      <w:r>
        <w:t>[TARİH ARALIĞI] boyunca [YÖNETİCİ/ÇALIŞAN] tarafından sistematik olarak [DIŞLAMA/AŞAĞILAMA/GÖREV ALMA/İMKÂNSIZ HEDEF/TEHDİT] uygulandı.</w:t>
      </w:r>
    </w:p>
    <w:p>
      <w:pPr/>
      <w:r>
        <w:rPr>
          <w:b/>
        </w:rPr>
        <w:t xml:space="preserve">3. </w:t>
      </w:r>
      <w:r>
        <w:t>Her olay tarih, yer, tanık ve belgeyle ek olay çizelgesinde gösterildi.</w:t>
      </w:r>
    </w:p>
    <w:p>
      <w:pPr/>
      <w:r>
        <w:rPr>
          <w:b/>
        </w:rPr>
        <w:t xml:space="preserve">4. </w:t>
      </w:r>
      <w:r>
        <w:t>İşverenin insan kaynakları/yönetimine [TARİH] tarihinde başvuruldu; etkili önlem alınmadı.</w:t>
      </w:r>
    </w:p>
    <w:p>
      <w:pPr/>
      <w:r>
        <w:rPr>
          <w:b/>
        </w:rPr>
        <w:t xml:space="preserve">5. </w:t>
      </w:r>
      <w:r>
        <w:t>Davacıda [SAĞLIK/İŞ GÜCÜ/KARİYER] zararı doğdu ve arabuluculukta anlaşma sağlanmadı.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TBK m.417: </w:t>
      </w:r>
      <w:r>
        <w:t>İşveren hizmet ilişkisinde işçinin kişiliğini korumak, saygı göstermek ve psikolojik/cinsel tacize uğramamasını sağlamakla yükümlüdür.</w:t>
      </w:r>
    </w:p>
    <w:p>
      <w:pPr>
        <w:ind w:left="312"/>
      </w:pPr>
      <w:r>
        <w:rPr>
          <w:b/>
          <w:color w:val="1E3A8A"/>
        </w:rPr>
        <w:t xml:space="preserve">TMK m.24-25: </w:t>
      </w:r>
      <w:r>
        <w:t>Kişilik hakkına hukuka aykırı saldırıya karşı koruma davaları düzenlenir.</w:t>
      </w:r>
    </w:p>
    <w:p>
      <w:pPr>
        <w:ind w:left="312"/>
      </w:pPr>
      <w:r>
        <w:rPr>
          <w:b/>
          <w:color w:val="1E3A8A"/>
        </w:rPr>
        <w:t xml:space="preserve">TBK m.49 ve 58: </w:t>
      </w:r>
      <w:r>
        <w:t>Kusurlu hukuka aykırı fiil ve kişilik hakkı zedelenmesi nedeniyle maddi/manevi tazminat esasları düzenlenir.</w:t>
      </w:r>
    </w:p>
    <w:p>
      <w:pPr>
        <w:ind w:left="312"/>
      </w:pPr>
      <w:r>
        <w:rPr>
          <w:b/>
          <w:color w:val="1E3A8A"/>
        </w:rPr>
        <w:t xml:space="preserve">4857 sayılı Kanun m.5: </w:t>
      </w:r>
      <w:r>
        <w:t>Eşit davranma ilkesi ve ayrımcılık tazminatı düzenlenir.</w:t>
      </w:r>
    </w:p>
    <w:p>
      <w:pPr>
        <w:ind w:left="312"/>
      </w:pPr>
      <w:r>
        <w:rPr>
          <w:b/>
          <w:color w:val="1E3A8A"/>
        </w:rPr>
        <w:t xml:space="preserve">7036 sayılı Kanun m.3: </w:t>
      </w:r>
      <w:r>
        <w:t>İşçi-işveren tazminat davalarında arabuluculuk dava şartıdır.</w:t>
      </w:r>
    </w:p>
    <w:p>
      <w:pPr>
        <w:pStyle w:val="Heading1"/>
      </w:pPr>
      <w:r>
        <w:t>HUKUKİ NEDENLER</w:t>
      </w:r>
    </w:p>
    <w:p>
      <w:r>
        <w:t>TBK m.417, TMK m.24-25, TBK m.49 ve 58, 4857 sayılı Kanun m.5, 7036 sayılı Kanun m.3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Olay kronolojisi</w:t>
      </w:r>
    </w:p>
    <w:p>
      <w:pPr/>
      <w:r>
        <w:rPr>
          <w:b/>
        </w:rPr>
        <w:t xml:space="preserve">2. </w:t>
      </w:r>
      <w:r>
        <w:t>E-posta, mesaj ve görev yazıları</w:t>
      </w:r>
    </w:p>
    <w:p>
      <w:pPr/>
      <w:r>
        <w:rPr>
          <w:b/>
        </w:rPr>
        <w:t xml:space="preserve">3. </w:t>
      </w:r>
      <w:r>
        <w:t>Performans kayıtları</w:t>
      </w:r>
    </w:p>
    <w:p>
      <w:pPr/>
      <w:r>
        <w:rPr>
          <w:b/>
        </w:rPr>
        <w:t xml:space="preserve">4. </w:t>
      </w:r>
      <w:r>
        <w:t>Sağlık raporları</w:t>
      </w:r>
    </w:p>
    <w:p>
      <w:pPr/>
      <w:r>
        <w:rPr>
          <w:b/>
        </w:rPr>
        <w:t xml:space="preserve">5. </w:t>
      </w:r>
      <w:r>
        <w:t>Tanık ve arabuluculuk son tutanağı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Uygun miktarda manevi ve varsa maddi tazminat,</w:t>
      </w:r>
    </w:p>
    <w:p>
      <w:pPr>
        <w:ind w:left="283"/>
      </w:pPr>
      <w:r>
        <w:rPr>
          <w:b/>
        </w:rPr>
        <w:t xml:space="preserve">2. </w:t>
      </w:r>
      <w:r>
        <w:t>Ayrımcılık koşulları oluşmuşsa kanuni tazminat,</w:t>
      </w:r>
    </w:p>
    <w:p>
      <w:pPr>
        <w:ind w:left="283"/>
      </w:pPr>
      <w:r>
        <w:rPr>
          <w:b/>
        </w:rPr>
        <w:t xml:space="preserve">3. </w:t>
      </w:r>
      <w:r>
        <w:t>Yasal faiz ve yargılama giderleri,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DAVACI/İŞÇİ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Olay kronolojisi</w:t>
      </w:r>
    </w:p>
    <w:p>
      <w:pPr/>
      <w:r>
        <w:t>2. E-posta, mesaj ve görev yazıları</w:t>
      </w:r>
    </w:p>
    <w:p>
      <w:pPr/>
      <w:r>
        <w:t>3. Performans kayıtları</w:t>
      </w:r>
    </w:p>
    <w:p>
      <w:pPr/>
      <w:r>
        <w:t>4. Sağlık raporları</w:t>
      </w:r>
    </w:p>
    <w:p>
      <w:pPr/>
      <w:r>
        <w:t>5. Tanık ve arabuluculuk son tutanağı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İşin yapıldığı yer veya davalı işverenin yerleşim yerindeki İş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TBK m.417’ye dayalı sözleşmesel tazminat isteminde on yıllık genel zamanaşımı; haksız fiil temelli istemde zarar ve sorumluyu öğrenmeden iki, her hâlde fiilden on yıllık süre uygulanır.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İşçi-işveren tazminat talebinde zorunlu arabuluculuk tamamlanır. Mobbing tek olay değil, belirli süreye yayılan sistematik yıldırma davranışlarıyla somutlaştırılır.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[TARİH ARALIĞI] boyunca [YÖNETİCİ/ÇALIŞAN] tarafından sistematik olarak [DIŞLAMA/AŞAĞILAMA/GÖREV ALMA/İMKÂNSIZ HEDEF/TEHDİT] uygulandı.</w:t>
      </w:r>
    </w:p>
    <w:p>
      <w:pPr/>
      <w:r>
        <w:t>Her olay tarih, yer, tanık ve belgeyle ek olay çizelgesinde gösterildi.</w:t>
      </w:r>
    </w:p>
    <w:p>
      <w:pPr/>
      <w:r>
        <w:t>İşverenin insan kaynakları/yönetimine □ [TARİH] tarihinde başvuruldu; etkili önlem alınmadı.</w:t>
      </w:r>
    </w:p>
    <w:p>
      <w:pPr/>
      <w:r>
        <w:t>Davacıda □ [SAĞLIK/İŞ GÜCÜ/KARİYER] zararı doğdu ve arabuluculukta anlaşma sağlanmadı.</w:t>
      </w:r>
    </w:p>
    <w:p>
      <w:pPr>
        <w:pStyle w:val="Heading2"/>
      </w:pPr>
      <w:r>
        <w:t>Başvuru öncesi kritik kontroller</w:t>
      </w:r>
    </w:p>
    <w:p>
      <w:pPr/>
      <w:r>
        <w:t>□ Tek tartışmayı mobbing olarak nitelemeyin; süreklilik, amaç ve sistematikliği gösterin.</w:t>
      </w:r>
    </w:p>
    <w:p>
      <w:pPr/>
      <w:r>
        <w:t>□ Hukuka aykırı ses kaydı gibi delillere dayanırken elde edilme koşullarını ayrıca değerlendirin.</w:t>
      </w:r>
    </w:p>
    <w:p>
      <w:pPr/>
      <w:r>
        <w:t>□ İşverenin bildirimden sonra hangi önlemleri almadığını açıklayın.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TBK güncel metni</w:t>
        </w:r>
      </w:hyperlink>
    </w:p>
    <w:p>
      <w:hyperlink r:id="rId12">
        <w:r>
          <w:rPr>
            <w:color w:val="1e3a8a"/>
            <w:u w:val="single"/>
          </w:rPr>
          <w:t>TMK güncel metni</w:t>
        </w:r>
      </w:hyperlink>
    </w:p>
    <w:p>
      <w:hyperlink r:id="rId13">
        <w:r>
          <w:rPr>
            <w:color w:val="1e3a8a"/>
            <w:u w:val="single"/>
          </w:rPr>
          <w:t>4857 güncel metni</w:t>
        </w:r>
      </w:hyperlink>
    </w:p>
    <w:p>
      <w:hyperlink r:id="rId14">
        <w:r>
          <w:rPr>
            <w:color w:val="1e3a8a"/>
            <w:u w:val="single"/>
          </w:rPr>
          <w:t>7036 güncel metni</w:t>
        </w:r>
      </w:hyperlink>
    </w:p>
    <w:p>
      <w:pPr>
        <w:pStyle w:val="Heading2"/>
      </w:pPr>
      <w:r>
        <w:t>İlgili hukuk rehberleri</w:t>
      </w:r>
    </w:p>
    <w:p>
      <w:hyperlink r:id="rId15">
        <w:r>
          <w:rPr>
            <w:color w:val="1e3a8a"/>
            <w:u w:val="single"/>
          </w:rPr>
          <w:t>İşçi hakları rehberi</w:t>
        </w:r>
      </w:hyperlink>
    </w:p>
    <w:p>
      <w:hyperlink r:id="rId16">
        <w:r>
          <w:rPr>
            <w:color w:val="1e3a8a"/>
            <w:u w:val="single"/>
          </w:rPr>
          <w:t>Maaş ödenmezse ne yapılır?</w:t>
        </w:r>
      </w:hyperlink>
    </w:p>
    <w:p>
      <w:hyperlink r:id="rId17">
        <w:r>
          <w:rPr>
            <w:color w:val="1e3a8a"/>
            <w:u w:val="single"/>
          </w:rPr>
          <w:t>İşe iade davası süresi ve şartları</w:t>
        </w:r>
      </w:hyperlink>
    </w:p>
    <w:p>
      <w:hyperlink r:id="rId18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9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098.pdf" TargetMode="External"/><Relationship Id="rId12" Type="http://schemas.openxmlformats.org/officeDocument/2006/relationships/hyperlink" Target="https://www.mevzuat.gov.tr/mevzuatmetin/1.5.4721.pdf" TargetMode="External"/><Relationship Id="rId13" Type="http://schemas.openxmlformats.org/officeDocument/2006/relationships/hyperlink" Target="https://www.mevzuat.gov.tr/mevzuatmetin/1.5.4857.pdf" TargetMode="External"/><Relationship Id="rId14" Type="http://schemas.openxmlformats.org/officeDocument/2006/relationships/hyperlink" Target="https://www.mevzuat.gov.tr/mevzuatmetin/1.5.7036.pdf" TargetMode="External"/><Relationship Id="rId15" Type="http://schemas.openxmlformats.org/officeDocument/2006/relationships/hyperlink" Target="https://halilbakirci.av.tr/isci-haklari-nelerdir/" TargetMode="External"/><Relationship Id="rId16" Type="http://schemas.openxmlformats.org/officeDocument/2006/relationships/hyperlink" Target="https://halilbakirci.av.tr/maas-odenmezse-ne-yapilir/" TargetMode="External"/><Relationship Id="rId17" Type="http://schemas.openxmlformats.org/officeDocument/2006/relationships/hyperlink" Target="https://halilbakirci.av.tr/ise-iade-davasi-acma-suresi-sartlari/" TargetMode="External"/><Relationship Id="rId18" Type="http://schemas.openxmlformats.org/officeDocument/2006/relationships/hyperlink" Target="https://halilbakirci.av.tr/iletisim/" TargetMode="External"/><Relationship Id="rId19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İşyerinde Mobbing Nedeniyle Manevi Tazminat Dava Dilekçesi</dc:title>
  <dc:subject>mobbing dava dilekçesi</dc:subject>
  <dc:creator>Av. Halil Bakırcı</dc:creator>
  <cp:keywords>mobbing dava dilekçesi, dilekçe örneği, Word indir, İş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