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4"/>
        </w:rPr>
        <w:t>T.C. MERSİN 2. ASLİYE TİCARET MAHKEMESİNE</w:t>
      </w:r>
    </w:p>
    <w:p>
      <w:r>
        <w:rPr>
          <w:b/>
        </w:rPr>
        <w:t>ESAS NO</w:t>
      </w:r>
      <w:r>
        <w:t xml:space="preserve"> : 2026/684 E. [Gerçek dosyaya göre değiştirin]</w:t>
      </w:r>
    </w:p>
    <w:p>
      <w:r>
        <w:rPr>
          <w:b/>
        </w:rPr>
        <w:t>TALEPTE BULUNAN DAVACI</w:t>
      </w:r>
      <w:r>
        <w:t xml:space="preserve"> : [Yazılım şirketi unvanı, vergi no ve adres]</w:t>
      </w:r>
    </w:p>
    <w:p>
      <w:r>
        <w:rPr>
          <w:b/>
        </w:rPr>
        <w:t>VEKİLİ</w:t>
      </w:r>
      <w:r>
        <w:t xml:space="preserve"> : Av. Halil BAKIRCI, Mersin Barosu Sicil No 3472</w:t>
      </w:r>
    </w:p>
    <w:p>
      <w:r>
        <w:rPr>
          <w:b/>
        </w:rPr>
        <w:t>DAVALI</w:t>
      </w:r>
      <w:r>
        <w:t xml:space="preserve"> : [Dağıtım şirketi unvanı ve adresi]</w:t>
      </w:r>
    </w:p>
    <w:p>
      <w:r>
        <w:rPr>
          <w:b/>
        </w:rPr>
        <w:t>KONU</w:t>
      </w:r>
      <w:r>
        <w:t xml:space="preserve"> : Davalının dayandığı muhasebe programı kayıtlarının HMK m. 219 uyarınca okunabilir çıktı ve incelemeye elverişli elektronik kopya olarak ibrazı; gerekirse HMK m. 218 kapsamında yerinde inceleme ve ibraz edilmezse HMK m. 220 sonuçlarının uygulanması talebidir.</w:t>
      </w:r>
    </w:p>
    <w:p>
      <w:pPr>
        <w:keepNext/>
      </w:pPr>
      <w:r>
        <w:rPr>
          <w:b/>
        </w:rPr>
        <w:t>AÇIKLAMALAR</w:t>
      </w:r>
    </w:p>
    <w:p>
      <w:r>
        <w:t>1. Davacı, 2025 yılı kurumsal yazılım lisansı, bakım ve veri aktarım hizmetlerinden doğan toplam 1.260.000 TL alacağın tahsilini istemektedir. Davalı, borcun üç iade faturasıyla mahsup edilerek sona erdiğini savunmuş ve [cevap tarihi] tarihli cevap dilekçesinin [ek no] ekinde ERP sisteminden alındığını belirttiği 16 sayfalık PDF sunmuştur.</w:t>
      </w:r>
    </w:p>
    <w:p>
      <w:r>
        <w:t>2. PDF’de yalnız seçilmiş cari hesap satırları vardır. Kayıt kimliği, muhasebe fişi ve yevmiye madde numarası, kayıt oluşturma/değiştirme zamanı, kullanıcı bilgisi, iade faturalarının elektronik asılları, iletim yanıtları ve e-Defter–berat bağlantısı gösterilmemiştir. Davacının kayıtlarında iade faturaları kabul edilmemiş; davalı [KEP tarihi] tarihli iletisinde açık bakiyeye ilişkin ödeme takvimi önermiştir.</w:t>
      </w:r>
    </w:p>
    <w:p>
      <w:r>
        <w:t>3. İbraz talebimiz bütün şirket veritabanına yönelik değildir. 01.01.2025–30.06.2025 dönemi, davacı cari hesabı, Ek-2 çizelgesindeki altı hizmet faturası ve davalının dayandığı üç iade faturasıyla sınırlıdır. İlgisiz müşteri, çalışan ve tedarikçi verilerinin maskelenmesini kabul ediyoruz.</w:t>
      </w:r>
    </w:p>
    <w:p>
      <w:r>
        <w:t>4. HMK m. 219/1 uyarınca elektronik belgeler çıktı alınarak ve talep edildiğinde incelemeye elverişli şekilde elektronik ortama kaydedilerek mahkemeye ibraz edilir. Seçilmiş PDF, kaynak kayıtlarla bağlantıyı ve sonradan değişiklik bulunup bulunmadığını denetlemeye elverişli değildir.</w:t>
      </w:r>
    </w:p>
    <w:p>
      <w:pPr>
        <w:keepNext/>
      </w:pPr>
      <w:r>
        <w:rPr>
          <w:b/>
        </w:rPr>
        <w:t>İBRAZI İSTENEN ELEKTRONİK KAYITLAR</w:t>
      </w:r>
    </w:p>
    <w:p>
      <w:r>
        <w:t>1. Belirtilen döneme ve çekişmeli dokuz faturaya ait cari hesap hareketlerinin kayıt kimliği, fiş numarası, hesap kodu, borç/alacak tutarı, kayıt ve değişiklik zamanı ile kullanıcı alanlarını içeren salt okunur elektronik dışa aktarımı ve aynı verinin okunabilir çıktısı.</w:t>
      </w:r>
    </w:p>
    <w:p>
      <w:r>
        <w:t>2. Bu hareketlere bağlı muhasebe fişleri, yevmiye ve defteri kebir satırları ile dayanak belge bağlantıları; varsa iptal, ters kayıt ve düzeltme kayıtlarının tarihçesi.</w:t>
      </w:r>
    </w:p>
    <w:p>
      <w:r>
        <w:t>3. Davalının dayandığı üç iade faturasının elektronik dosyaları, gönderim–teslim bilgileri, uygulama yanıtları ve kabul/ret kayıtları.</w:t>
      </w:r>
    </w:p>
    <w:p>
      <w:r>
        <w:t>4. Davalı e-Defter kullanıyorsa yalnız ilgili ay ve hesaplara ait yevmiye/defteri kebir dosyaları ile beratların doğrulama bilgileri ve incelemeye yarayan görüntüleme aracı.</w:t>
      </w:r>
    </w:p>
    <w:p>
      <w:pPr>
        <w:keepNext/>
      </w:pPr>
      <w:r>
        <w:rPr>
          <w:b/>
        </w:rPr>
        <w:t>HUKUKİ DEĞERLENDİRME</w:t>
      </w:r>
    </w:p>
    <w:p>
      <w:r>
        <w:t>1. HMK m. 219/1, tarafların dayandıkları ve ellerinde bulunan bütün belgeleri ibrazını; elektronik belgenin çıktı ve talep hâlinde incelemeye elverişli elektronik kayıt olarak sunulmasını düzenler. HMK m. 219/2 devamlı kullanılan belgelerin yalnız ilgili kısımlarının onaylı örneklerinin sunulmasına izin verdiğinden talebimiz dönem ve işlem bazında sınırlandırılmıştır.</w:t>
      </w:r>
    </w:p>
    <w:p>
      <w:r>
        <w:t>2. Muhasebe programı ekranı ile kanuni ticari defter aynı değildir. Çekişmeli hareketlerin ticari deftere yansıması HMK m. 222 koşullarıyla incelenmeli; ERP, fiş, yevmiye, defteri kebir, elektronik fatura ve varsa e-Defter–berat bağlantısı kurulmalıdır.</w:t>
      </w:r>
    </w:p>
    <w:p>
      <w:r>
        <w:t>3. Kayıtların mahkemeye taşınması teknik olarak mümkün değilse HMK m. 218 uyarınca davalının sisteminde yerinde bilirkişi incelemesi yapılabilir. İnceleme yalnız belirlenen hesap, dönem ve fatura listesiyle sınırlanmalı; alınan kopyaların dosya adı, boyutu ve hash değeri tutanağa geçirilmelidir.</w:t>
      </w:r>
    </w:p>
    <w:p>
      <w:r>
        <w:t>4. HMK m. 220 gereğince davalıya kapsamı ve elektronik sunum biçimi açık kesin süre verilmelidir. Süresinde ibraz veya delilli kabul edilebilir mazeret olmazsa davacının, çekişmeli iade faturalarının defter kayıtlarıyla doğrulanmadığı ve hizmet faturalarının açık kaldığı yönündeki içerik beyanı diğer delillerle birlikte değerlendirilmelidir.</w:t>
      </w:r>
    </w:p>
    <w:p>
      <w:pPr>
        <w:keepNext/>
      </w:pPr>
      <w:r>
        <w:rPr>
          <w:b/>
        </w:rPr>
        <w:t>BİLİRKİŞİ İNCELEMESİNİN SINIRI</w:t>
      </w:r>
    </w:p>
    <w:p>
      <w:r>
        <w:t>1. Sunulan 16 sayfalık PDF ile elektronik dışa aktarımın aynı veri kümesinden üretilip üretilmediği; uygulanan filtrelerin hangi kayıtları dışarıda bıraktığı.</w:t>
      </w:r>
    </w:p>
    <w:p>
      <w:r>
        <w:t>2. Çekişmeli hareketlerin fiş, yevmiye, defteri kebir ve dayanak belge bağlantıları; oluşturma/değiştirme tarihleri ve kullanıcı bilgilerinin gösterdiği işlem zinciri.</w:t>
      </w:r>
    </w:p>
    <w:p>
      <w:r>
        <w:t>3. İade faturalarının elektronik asılları ile iletim ve uygulama yanıtlarının bulunup bulunmadığı; varsa e-Defter dosyaları ile beratların eşleşmesi ve ilgili satırların defterdeki yeri.</w:t>
      </w:r>
    </w:p>
    <w:p>
      <w:r>
        <w:t>4. Bilirkişinin yalnız teknik ve muhasebesel bulguları açıklaması; borcun sona erdiği veya faturanın hukuken kabul edildiği yönünde hukuki nitelendirme yapmaması.</w:t>
      </w:r>
    </w:p>
    <w:p>
      <w:pPr>
        <w:keepNext/>
      </w:pPr>
      <w:r>
        <w:rPr>
          <w:b/>
        </w:rPr>
        <w:t>HUKUKİ NEDENLER</w:t>
      </w:r>
    </w:p>
    <w:p>
      <w:r>
        <w:t>6100 sayılı Hukuk Muhakemeleri Kanunu m. 199, 218, 219, 220, 222, 266; 6102 sayılı Türk Ticaret Kanununun ticari defter ve saklama hükümleri; e-Defter düzenlemeleri ve ilgili mevzuat.</w:t>
      </w:r>
    </w:p>
    <w:p>
      <w:pPr>
        <w:keepNext/>
      </w:pPr>
      <w:r>
        <w:rPr>
          <w:b/>
        </w:rPr>
        <w:t>DELİLLER</w:t>
      </w:r>
    </w:p>
    <w:p>
      <w:r>
        <w:t>Davalının cevap dilekçesi ve 16 sayfalık ERP PDF’si; fatura ve kapsam çizelgesi; davacı cari hesap kayıtları; e-fatura iletim/yanıt kayıtları; KEP yazışmaları ve ödeme takvimi önerisi; tarafların ticari defterleri; davalı sistemindeki sınırlandırılmış elektronik kayıtlar; gerektiğinde yerinde inceleme ve bilirkişi raporu ile ilgili diğer yasal deliller.</w:t>
      </w:r>
    </w:p>
    <w:p>
      <w:pPr>
        <w:keepNext/>
      </w:pPr>
      <w:r>
        <w:rPr>
          <w:b/>
        </w:rPr>
        <w:t>SONUÇ VE İSTEM</w:t>
      </w:r>
    </w:p>
    <w:p>
      <w:pPr>
        <w:keepLines/>
      </w:pPr>
      <w:r>
        <w:t>Açıklanan nedenlerle; (1) davalıya 01.01.2025–30.06.2025 dönemi, davacı cari hesabı ve Ek-2’deki dokuz faturayla sınırlı olmak üzere yukarıda sayılan muhasebe programı kayıtlarını HMK m. 219 uyarınca okunabilir çıktı ve incelemeye elverişli salt okunur elektronik kopya olarak ibraz etmesi için kesin süre verilmesine, (2) elektronik kopyaların teslim eden, tarih, dosya adı, boyut ve hash değerlerini içeren tutanakla korunmasına, (3) kayıtların taşınması mümkün değilse HMK m. 218 uyarınca davalı sisteminde sınırlandırılmış yerinde bilirkişi incelemesi yapılmasına, (4) ticari defterlerin HMK m. 222 koşullarıyla karşılaştırılmasına, (5) süresinde ibraz veya delilli kabul edilebilir mazeret bulunmazsa HMK m. 220 sonuçlarının uygulanarak davacının kayıt içeriğine ilişkin somut beyanının diğer delillerle birlikte değerlendirilmesine karar verilmesini saygıyla arz ve talep ederiz. 30/09/2026</w:t>
      </w:r>
    </w:p>
    <w:p>
      <w:pPr>
        <w:jc w:val="right"/>
      </w:pPr>
      <w:r>
        <w:t>Davacı Vekili</w:t>
        <w:br/>
        <w:t>Av. Halil BAKIRCI</w:t>
        <w:br/>
        <w:t>Mersin Barosu Sicil No 3472</w:t>
        <w:br/>
        <w:t>(E-İMZALIDIR)</w:t>
      </w:r>
    </w:p>
    <w:p>
      <w:pPr>
        <w:keepNext/>
      </w:pPr>
      <w:r>
        <w:rPr>
          <w:b/>
        </w:rPr>
        <w:t>EKLER</w:t>
      </w:r>
    </w:p>
    <w:p>
      <w:pPr>
        <w:pStyle w:val="ListBullet"/>
      </w:pPr>
      <w:r>
        <w:t>Ek-1: Davalının sunduğu 16 sayfalık ERP PDF’si</w:t>
      </w:r>
    </w:p>
    <w:p>
      <w:pPr>
        <w:pStyle w:val="ListBullet"/>
      </w:pPr>
      <w:r>
        <w:t>Ek-2: Çekişmeli altı hizmet ve üç iade faturası kapsam çizelgesi</w:t>
      </w:r>
    </w:p>
    <w:p>
      <w:pPr>
        <w:pStyle w:val="ListBullet"/>
      </w:pPr>
      <w:r>
        <w:t>Ek-3: Davacı cari hesap ekstresi ve fatura örnekleri</w:t>
      </w:r>
    </w:p>
    <w:p>
      <w:pPr>
        <w:pStyle w:val="ListBullet"/>
      </w:pPr>
      <w:r>
        <w:t>Ek-4: E-fatura iletim ve uygulama yanıtları</w:t>
      </w:r>
    </w:p>
    <w:p>
      <w:pPr>
        <w:pStyle w:val="ListBullet"/>
      </w:pPr>
      <w:r>
        <w:t>Ek-5: Davalının ödeme takvimi önerdiği KEP iletisi</w:t>
      </w:r>
    </w:p>
    <w:p>
      <w:pPr>
        <w:pStyle w:val="ListBullet"/>
      </w:pPr>
      <w:r>
        <w:t>Ek-6: İstenen veri alanları ve elektronik teslim kontrol listesi</w:t>
      </w:r>
    </w:p>
    <w:p>
      <w:pPr>
        <w:keepNext/>
      </w:pPr>
      <w:r>
        <w:rPr>
          <w:b/>
        </w:rPr>
        <w:t>DOLDURMA KONTROLÜ - SUNULACAK NÜSHADAN ÇIKARIN</w:t>
      </w:r>
    </w:p>
    <w:p>
      <w:pPr>
        <w:pStyle w:val="ListBullet"/>
      </w:pPr>
      <w:r>
        <w:rPr>
          <w:i/>
        </w:rPr>
        <w:t>Mahkeme, esas numarası, taraf ve vekil bilgilerini gerçek dosyaya göre yazın.</w:t>
      </w:r>
    </w:p>
    <w:p>
      <w:pPr>
        <w:pStyle w:val="ListBullet"/>
      </w:pPr>
      <w:r>
        <w:rPr>
          <w:i/>
        </w:rPr>
        <w:t>Dönem, cari hesap ve fatura listesini gerçek uyuşmazlıkla sınırlandırın.</w:t>
      </w:r>
    </w:p>
    <w:p>
      <w:pPr>
        <w:pStyle w:val="ListBullet"/>
      </w:pPr>
      <w:r>
        <w:rPr>
          <w:i/>
        </w:rPr>
        <w:t>Davalı e-Defter kullanmıyorsa e-Defter ve berat istemlerini çıkarın.</w:t>
      </w:r>
    </w:p>
    <w:p>
      <w:pPr>
        <w:pStyle w:val="ListBullet"/>
      </w:pPr>
      <w:r>
        <w:rPr>
          <w:i/>
        </w:rPr>
        <w:t>Sistemde bulunmayan veri alanını talep etmeyin; mevcut teknik yapıyı dosya belgeleriyle açıklayın.</w:t>
      </w:r>
    </w:p>
    <w:p>
      <w:pPr>
        <w:pStyle w:val="ListBullet"/>
      </w:pPr>
      <w:r>
        <w:rPr>
          <w:i/>
        </w:rPr>
        <w:t>Köşeli alanları, kullanılmayan seçenekleri ve bu kontrol bölümünü nihai nüshadan çıkarın.</w:t>
      </w:r>
    </w:p>
    <w:sectPr w:rsidR="00FC693F" w:rsidRPr="0006063C" w:rsidSect="00034616">
      <w:pgSz w:w="12240" w:h="15840"/>
      <w:pgMar w:top="749"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18"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