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color w:val="000000"/>
          <w:sz w:val="23"/>
        </w:rPr>
        <w:t>T.C. MERSİN 1. İŞ MAHKEMESİNE</w:t>
      </w:r>
    </w:p>
    <w:p>
      <w:r>
        <w:rPr>
          <w:b/>
        </w:rPr>
        <w:t>ESAS NO</w:t>
      </w:r>
      <w:r>
        <w:t xml:space="preserve"> : 2026/614 E. [Gerçek dosyaya göre değiştirin]</w:t>
      </w:r>
    </w:p>
    <w:p>
      <w:r>
        <w:rPr>
          <w:b/>
        </w:rPr>
        <w:t>TALEPTE BULUNAN DAVACI</w:t>
      </w:r>
      <w:r>
        <w:t xml:space="preserve"> : [Ad soyad, T.C. kimlik no, adres]</w:t>
      </w:r>
    </w:p>
    <w:p>
      <w:r>
        <w:rPr>
          <w:b/>
        </w:rPr>
        <w:t>VEKİLİ</w:t>
      </w:r>
      <w:r>
        <w:t xml:space="preserve"> : Av. Halil BAKIRCI, Mersin Barosu Sicil No 3472</w:t>
      </w:r>
    </w:p>
    <w:p>
      <w:r>
        <w:rPr>
          <w:b/>
        </w:rPr>
        <w:t>DAVALI</w:t>
      </w:r>
      <w:r>
        <w:t xml:space="preserve"> : [İşveren unvanı ve adres]</w:t>
      </w:r>
    </w:p>
    <w:p>
      <w:r>
        <w:rPr>
          <w:b/>
        </w:rPr>
        <w:t>KONU</w:t>
      </w:r>
      <w:r>
        <w:t xml:space="preserve"> : 12.08.2026 tarihli listenin 1 numaralı tanığı Mehmet Kaya’nın HMK m. 263/2 uyarınca işaret dilinden anlayan tarafsız bilirkişi yardımıyla yeniden dinlenmesi ve önceki yakın aktarımının tek başına tanık beyanı sayılmaması istemidir.</w:t>
      </w:r>
    </w:p>
    <w:p>
      <w:pPr>
        <w:keepNext/>
      </w:pPr>
      <w:r>
        <w:rPr>
          <w:b/>
        </w:rPr>
        <w:t>OLAY, ÖNCEKİ LİSTE VE ÇEKİŞMELİ VAKIA</w:t>
      </w:r>
    </w:p>
    <w:p>
      <w:r>
        <w:t>1. Dava, Mart–Aralık 2024 dönemindeki fazla çalışma alacağına ilişkindir. Davacı, haftada altı gün 08.00–20.00 çalıştığını; davalı vardiyanın 17.00’de bittiğini ileri sürmektedir. Çekişmeli vakıa, işyerinde fiilî çıkış saatleri ve tanığın bizzat gördüğü vardiyalardır.</w:t>
      </w:r>
    </w:p>
    <w:p>
      <w:r>
        <w:t>2. Mehmet Kaya, davacının 12.08.2026 tarihli tanık listesinin 1 numaralı tanığıdır; yeni tanık bildirilmiyor. Aynı depoda çalışmış, vardiya sonunda kapıyı kapatmış ve çıkış saatleri hakkında doğrudan gözlem sahibidir. Listedeki kimlik ve tebliğ adresi dosyadadır.</w:t>
      </w:r>
    </w:p>
    <w:p>
      <w:pPr>
        <w:keepNext/>
      </w:pPr>
      <w:r>
        <w:rPr>
          <w:b/>
        </w:rPr>
        <w:t>İLETİŞİM YÖNTEMİ VE EKSİK ÖNCEKİ İŞLEM</w:t>
      </w:r>
    </w:p>
    <w:p>
      <w:r>
        <w:t>3. Tanık ileri derecede işitme ve konuşma engellidir; Türk İşaret Diliyle iletişim kurar ve okuma-yazma bilmemektedir. Bu bilgi [eğitim kurumu yazısı/uzman kayıt belgesi] ve [engellilik raporunun ilgili bölümü] ile desteklenmektedir. Yalnız imza atabilmek yazılı soru-cevap yöntemini kullanabildiğini göstermez.</w:t>
      </w:r>
    </w:p>
    <w:p>
      <w:r>
        <w:t>4. 15.09.2026 tarihli celsede işaret dilinden anlayan bilirkişi görevlendirilmeden davacının kardeşi [Ad Soyad] tanığın işaretlerini “genelde sekizde çıkıyordu” diye özetlemiştir. Tutanakta hangi soruların sorulduğu, tanığın hangi günleri doğrudan gördüğü, yemin ve cevapların nasıl aktarıldığı açıklanmamıştır. Yakının iyi niyeti değil, HMK m. 263/2 yönteminin uygulanmamış olması itiraz konusudur.</w:t>
      </w:r>
    </w:p>
    <w:p>
      <w:pPr>
        <w:keepNext/>
      </w:pPr>
      <w:r>
        <w:rPr>
          <w:b/>
        </w:rPr>
        <w:t>HMK 263/2 UYARINCA YÖNTEM VE BİLİRKİŞİ GÖREVİ</w:t>
      </w:r>
    </w:p>
    <w:p>
      <w:r>
        <w:t>5. HMK m. 263/2, okuma-yazma bilen tanık için yazılı soru ve yazılı cevabı; bilmeyen tanık için hâkimin işaret dilinden anlayan bilirkişi yardımıyla dinlemesini düzenler. Mehmet Kaya bakımından ikinci yöntem uygulanmalıdır. Tanık, bilirkişi veya aile üyesi yerine bizzat beyan veren kişi olarak kalmalıdır.</w:t>
      </w:r>
    </w:p>
    <w:p>
      <w:r>
        <w:t>6. Bilirkişinin Türk İşaret Dili yeterliği, taraflarla ilişkisi bulunup bulunmadığı ve görevinin soru/cevapları tam aktarmakla sınırlı olduğu görevlendirme kararında gösterilmelidir. Bilirkişi çalışma saatlerine ilişkin hukuki veya hesap görüşü vermez; işaretleri tahminle tamamlamaz. Hâkimin sorularını tanığa, tanığın cevabını hâkime eksiksiz iletir.</w:t>
      </w:r>
    </w:p>
    <w:p>
      <w:r>
        <w:t>7. HMK m. 257’deki yeminsiz dinleme istisnası somut tanık için ileri sürülmemektedir. HMK m. 258 tanık yemininin dinlemeden önce alınmasını, m. 260 konu hakkında bilgi verilmesini, m. 261 tanığın kesintisiz anlatımı ve tutanağın önünde okunup imzalanmasını öngörür. Bu işlemlerin tanığa erişilebilir şekilde aktarılması ve tutanağa kaydedilmesi istenir.</w:t>
      </w:r>
    </w:p>
    <w:p>
      <w:pPr>
        <w:keepNext/>
      </w:pPr>
      <w:r>
        <w:rPr>
          <w:b/>
        </w:rPr>
        <w:t>TANIĞA SORULMASI İSTENEN MADDİ OLAYLAR</w:t>
      </w:r>
    </w:p>
    <w:p>
      <w:r>
        <w:t>A. Mart–Aralık 2024 döneminde tanığın davacıyla aynı depoda hangi ay ve vardiyalarda bulunduğu; B. Davacının 17.00 sonrasında çalıştığını bizzat hangi günlerde gördüğü; C. Tanığın ve davacının çıkışını kimlerin kaydettiği, kapıyı kimin kapattığı; D. 20.00 saatinin sürekli mi yoksa belirli günlerde mi gözlemlendiği; E. Hafta tatili günlerindeki çalışmaya ilişkin doğrudan görgü ve duyumun ayrımı. Tanıktan alacağın hukuki hesabı değil, kişisel gözlemi sorulmalıdır.</w:t>
      </w:r>
    </w:p>
    <w:p>
      <w:pPr>
        <w:keepNext/>
      </w:pPr>
      <w:r>
        <w:rPr>
          <w:b/>
        </w:rPr>
        <w:t>HUKUKİ NEDENLER VE DELİLLER</w:t>
      </w:r>
    </w:p>
    <w:p>
      <w:r>
        <w:t>6100 sayılı HMK m. 27, 152, 154, 155, 240/2, 257, 258, 260, 261, 263/2. Deliller: 12.08.2026 tanık listesi ve sunum kaydı, 15.09.2026 duruşma tutanağı, tanığın iletişim ve okuryazarlık belgeleri, işyeri vardiya/puantaj kayıtları, tanık davetiyesi, UYAP kayıtları, bilirkişi yeterlik ve tarafsızlık belgeleri.</w:t>
      </w:r>
    </w:p>
    <w:p>
      <w:pPr>
        <w:keepNext/>
      </w:pPr>
      <w:r>
        <w:rPr>
          <w:b/>
        </w:rPr>
        <w:t>SONUÇ VE İSTEM</w:t>
      </w:r>
    </w:p>
    <w:p>
      <w:pPr>
        <w:keepLines/>
      </w:pPr>
      <w:r>
        <w:t>Açıklanan nedenlerle; (1) 15.09.2026 tarihli yakının özet aktarımının HMK m. 263/2’deki bilirkişi yardımı koşulunu karşılamadığının tespitine ve bu kaydın tek başına fazla çalışma vakıası için yeterli tanık beyanı sayılmamasına, (2) tanığın okuma-yazma durumu ile kullandığı iletişim yönteminin ekli kayıtlarla belirlenmesine, (3) Türk İşaret Dili yeterliği ve tarafsızlığı denetlenmiş bilirkişi görevlendirilmesine, (4) önceki listede bulunan Mehmet Kaya için yeni dinleme günü verilmesine, (5) HMK m. 258, 260, 261 ve 263/2 uyarınca yemin, açıklama, maddi sorular, tam cevap, erişilebilir tutanak okuma ve onay adımlarının uygulanmasına, (6) taraf vekillerinin HMK m. 152/1 kapsamındaki soru hakkının korunmasına karar verilmesini saygıyla arz ve talep ederiz. 30/09/2026</w:t>
      </w:r>
    </w:p>
    <w:p>
      <w:pPr>
        <w:jc w:val="right"/>
      </w:pPr>
      <w:r>
        <w:t>Davacı Vekili</w:t>
        <w:br/>
        <w:t>Av. Halil BAKIRCI</w:t>
        <w:br/>
        <w:t>Mersin Barosu Sicil No 3472</w:t>
        <w:br/>
        <w:t>(E-İMZALIDIR)</w:t>
      </w:r>
    </w:p>
    <w:p>
      <w:pPr>
        <w:keepNext/>
      </w:pPr>
      <w:r>
        <w:rPr>
          <w:b/>
        </w:rPr>
        <w:t>EKLER</w:t>
      </w:r>
    </w:p>
    <w:p>
      <w:pPr>
        <w:pStyle w:val="ListBullet"/>
      </w:pPr>
      <w:r>
        <w:t>Ek-1: 12.08.2026 tarihli tanık listesi ve sunum kaydı</w:t>
      </w:r>
    </w:p>
    <w:p>
      <w:pPr>
        <w:pStyle w:val="ListBullet"/>
      </w:pPr>
      <w:r>
        <w:t>Ek-2: 15.09.2026 tarihli duruşma tutanağı</w:t>
      </w:r>
    </w:p>
    <w:p>
      <w:pPr>
        <w:pStyle w:val="ListBullet"/>
      </w:pPr>
      <w:r>
        <w:t>Ek-3: Tanığın iletişim yöntemine ve okuryazarlığına ilişkin belgeler</w:t>
      </w:r>
    </w:p>
    <w:p>
      <w:pPr>
        <w:pStyle w:val="ListBullet"/>
      </w:pPr>
      <w:r>
        <w:t>Ek-4: Tanık davetiyesi ve vardiya/puantaj kayıtları</w:t>
      </w:r>
    </w:p>
    <w:p>
      <w:pPr>
        <w:keepNext/>
      </w:pPr>
      <w:r>
        <w:rPr>
          <w:b/>
        </w:rPr>
        <w:t>DOLDURMA KONTROLÜ — SUNULACAK NÜSHADAN ÇIKARIN</w:t>
      </w:r>
    </w:p>
    <w:p>
      <w:pPr>
        <w:pStyle w:val="ListBullet"/>
      </w:pPr>
      <w:r>
        <w:rPr>
          <w:i/>
        </w:rPr>
        <w:t>Tanığın önceki liste kaydını, gerçek iletişim biçimini ve okuryazarlığını belgeyle doğrulayın.</w:t>
      </w:r>
    </w:p>
    <w:p>
      <w:pPr>
        <w:pStyle w:val="ListBullet"/>
      </w:pPr>
      <w:r>
        <w:rPr>
          <w:i/>
        </w:rPr>
        <w:t>Örnek çalışma dönemi, saatleri, kişi ve celse tarihlerini gerçek dosyaya göre değiştirin.</w:t>
      </w:r>
    </w:p>
    <w:p>
      <w:pPr>
        <w:pStyle w:val="ListBullet"/>
      </w:pPr>
      <w:r>
        <w:rPr>
          <w:i/>
        </w:rPr>
        <w:t>Tanık okuma-yazma biliyorsa HMK 263/2 yazılı soru-cevap yöntemine göre istemi yeniden kurun.</w:t>
      </w:r>
    </w:p>
    <w:p>
      <w:pPr>
        <w:pStyle w:val="ListBullet"/>
      </w:pPr>
      <w:r>
        <w:rPr>
          <w:i/>
        </w:rPr>
        <w:t>Köşeli alanları, mevcut olmayan ekleri ve bu kontrol bölümünü nihai nüshadan silin.</w:t>
      </w:r>
    </w:p>
    <w:sectPr w:rsidR="00FC693F" w:rsidRPr="0006063C" w:rsidSect="00034616">
      <w:pgSz w:w="12240" w:h="15840"/>
      <w:pgMar w:top="720"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