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ÖZEL HAYATIN GIZLILIĞINI İHLAL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Özel hayat alanına ilişkin görüntü/ses/bilginin hukuka aykırı biçimde kaydedilmesi veya ifşa edilmesi nedeniyle katılma, dijital delillerin korunması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aşamasındadır. İlk şikâyet savcılığa/kolluğa yapılır. Özel hayat alanı, hukuka uygunluk nedeni ve şikâyet süresi somut olaya göre değerlendirilmelidir.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Sanık, katılanın özel yaşam alanına ilişkin [GÖRÜNTÜ/SES/BİLGİ] içeriğini [TARİH] tarihinde rızası dışında elde etmiş/kaydetmiş ve [PLATFORM/KİŞİLER] ile paylaşmıştır.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İçeriğin özel hayat kapsamındaki niteliği; çekildiği yer, erişim beklentisi, paylaşım kapsamı ve katılanın rızasının bulunmamasıyla ortaya konulmaktadır.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Dijital içeriğin URL, hesap, paylaşım zamanı, erişim sayısı ve dosya özellikleri korunmuştur. Platform kayıtlarının silinmeden celbi ve gerektiğinde bilişim bilirkişisi incelemesi gerekmektedir.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İfşa nedeniyle katılanın kişisel ve mesleki yaşamında doğan etkiler, içerik kaldırma başvuruları ve üçüncü kişilerin gördüğüne ilişkin kayıtlarla gösterilmektedir.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aşamasındadır. İlk şikâyet savcılığa/kolluğa yapılır. Özel hayat alanı, hukuka uygunluk nedeni ve şikâyet süresi somut olaya göre değerlendirilmelidir.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URL/ekran kayıtları, Noter/e-tespit varsa, Platform hesap ve IP kayıtları, Cihaz incelemesi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Özel Hayatın Gizliliğini İhlal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talebinin kabulüne; Dijital delillerin korunması ve platform kayıtlarının celbine; Sanığın TCK m.134 kapsamında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özel hayatın gizliliğini i̇hlal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m.134 ve m.139; 5271 sayılı CMK m.234, m.237 ve devamı; ilgili kişisel veri mevzuatı.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URL/ekran kayıtları</w:t>
      </w:r>
    </w:p>
    <w:p>
      <w:pPr>
        <w:jc w:val="left"/>
        <w:spacing w:before="0" w:after="60" w:line="276" w:lineRule="auto"/>
      </w:pPr>
      <w:r>
        <w:rPr>
          <w:rFonts w:ascii="Times New Roman" w:hAnsi="Times New Roman" w:eastAsia="Times New Roman"/>
          <w:sz w:val="23"/>
          <w:szCs w:val="23"/>
        </w:rPr>
        <w:t xml:space="preserve">2. Noter/e-tespit varsa</w:t>
      </w:r>
    </w:p>
    <w:p>
      <w:pPr>
        <w:jc w:val="left"/>
        <w:spacing w:before="0" w:after="60" w:line="276" w:lineRule="auto"/>
      </w:pPr>
      <w:r>
        <w:rPr>
          <w:rFonts w:ascii="Times New Roman" w:hAnsi="Times New Roman" w:eastAsia="Times New Roman"/>
          <w:sz w:val="23"/>
          <w:szCs w:val="23"/>
        </w:rPr>
        <w:t xml:space="preserve">3. Platform hesap ve IP kayıtları</w:t>
      </w:r>
    </w:p>
    <w:p>
      <w:pPr>
        <w:jc w:val="left"/>
        <w:spacing w:before="0" w:after="60" w:line="276" w:lineRule="auto"/>
      </w:pPr>
      <w:r>
        <w:rPr>
          <w:rFonts w:ascii="Times New Roman" w:hAnsi="Times New Roman" w:eastAsia="Times New Roman"/>
          <w:sz w:val="23"/>
          <w:szCs w:val="23"/>
        </w:rPr>
        <w:t xml:space="preserve">4. Cihaz incelemesi</w:t>
      </w:r>
    </w:p>
    <w:p>
      <w:pPr>
        <w:jc w:val="left"/>
        <w:spacing w:before="0" w:after="60" w:line="276" w:lineRule="auto"/>
      </w:pPr>
      <w:r>
        <w:rPr>
          <w:rFonts w:ascii="Times New Roman" w:hAnsi="Times New Roman" w:eastAsia="Times New Roman"/>
          <w:sz w:val="23"/>
          <w:szCs w:val="23"/>
        </w:rPr>
        <w:t xml:space="preserve">5. Tanıklar</w:t>
      </w:r>
    </w:p>
    <w:p>
      <w:pPr>
        <w:jc w:val="left"/>
        <w:spacing w:before="0" w:after="60" w:line="276" w:lineRule="auto"/>
      </w:pPr>
      <w:r>
        <w:rPr>
          <w:rFonts w:ascii="Times New Roman" w:hAnsi="Times New Roman" w:eastAsia="Times New Roman"/>
          <w:sz w:val="23"/>
          <w:szCs w:val="23"/>
        </w:rPr>
        <w:t xml:space="preserve">6. İçerik kaldırma başvuruları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talebinin kabulüne,</w:t>
      </w:r>
    </w:p>
    <w:p>
      <w:pPr>
        <w:jc w:val="both"/>
        <w:spacing w:before="0" w:after="60" w:line="276" w:lineRule="auto"/>
      </w:pPr>
      <w:r>
        <w:rPr>
          <w:rFonts w:ascii="Times New Roman" w:hAnsi="Times New Roman" w:eastAsia="Times New Roman"/>
          <w:sz w:val="23"/>
          <w:szCs w:val="23"/>
        </w:rPr>
        <w:t xml:space="preserve">2. Dijital delillerin korunması ve platform kayıtlarının celbine,</w:t>
      </w:r>
    </w:p>
    <w:p>
      <w:pPr>
        <w:jc w:val="both"/>
        <w:spacing w:before="0" w:after="60" w:line="276" w:lineRule="auto"/>
      </w:pPr>
      <w:r>
        <w:rPr>
          <w:rFonts w:ascii="Times New Roman" w:hAnsi="Times New Roman" w:eastAsia="Times New Roman"/>
          <w:sz w:val="23"/>
          <w:szCs w:val="23"/>
        </w:rPr>
        <w:t xml:space="preserve">3. Sanığın TCK m.134 kapsamında cezalandırılmasına,</w:t>
      </w:r>
    </w:p>
    <w:p>
      <w:pPr>
        <w:jc w:val="both"/>
        <w:spacing w:before="0" w:after="60" w:line="276" w:lineRule="auto"/>
      </w:pPr>
      <w:r>
        <w:rPr>
          <w:rFonts w:ascii="Times New Roman" w:hAnsi="Times New Roman" w:eastAsia="Times New Roman"/>
          <w:sz w:val="23"/>
          <w:szCs w:val="23"/>
        </w:rPr>
        <w:t xml:space="preserve">4. Gerekli erişim/içerik koruma tedbirlerinin ilgili usule göre değerlendirilmesine,</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URL/ekran kayıtları</w:t>
      </w:r>
    </w:p>
    <w:p>
      <w:pPr>
        <w:jc w:val="left"/>
        <w:spacing w:before="0" w:after="50" w:line="276" w:lineRule="auto"/>
      </w:pPr>
      <w:r>
        <w:rPr>
          <w:rFonts w:ascii="Times New Roman" w:hAnsi="Times New Roman" w:eastAsia="Times New Roman"/>
          <w:sz w:val="23"/>
          <w:szCs w:val="23"/>
        </w:rPr>
        <w:t xml:space="preserve">Ek-2: Noter/e-tespit varsa</w:t>
      </w:r>
    </w:p>
    <w:p>
      <w:pPr>
        <w:jc w:val="left"/>
        <w:spacing w:before="0" w:after="50" w:line="276" w:lineRule="auto"/>
      </w:pPr>
      <w:r>
        <w:rPr>
          <w:rFonts w:ascii="Times New Roman" w:hAnsi="Times New Roman" w:eastAsia="Times New Roman"/>
          <w:sz w:val="23"/>
          <w:szCs w:val="23"/>
        </w:rPr>
        <w:t xml:space="preserve">Ek-3: Platform hesap ve IP kayıtları</w:t>
      </w:r>
    </w:p>
    <w:p>
      <w:pPr>
        <w:jc w:val="left"/>
        <w:spacing w:before="0" w:after="50" w:line="276" w:lineRule="auto"/>
      </w:pPr>
      <w:r>
        <w:rPr>
          <w:rFonts w:ascii="Times New Roman" w:hAnsi="Times New Roman" w:eastAsia="Times New Roman"/>
          <w:sz w:val="23"/>
          <w:szCs w:val="23"/>
        </w:rPr>
        <w:t xml:space="preserve">Ek-4: Cihaz incelemesi</w:t>
      </w:r>
    </w:p>
    <w:p>
      <w:pPr>
        <w:jc w:val="left"/>
        <w:spacing w:before="0" w:after="50" w:line="276" w:lineRule="auto"/>
      </w:pPr>
      <w:r>
        <w:rPr>
          <w:rFonts w:ascii="Times New Roman" w:hAnsi="Times New Roman" w:eastAsia="Times New Roman"/>
          <w:sz w:val="23"/>
          <w:szCs w:val="23"/>
        </w:rPr>
        <w:t xml:space="preserve">Ek-5: Tanıklar</w:t>
      </w:r>
    </w:p>
    <w:p>
      <w:pPr>
        <w:jc w:val="left"/>
        <w:spacing w:before="0" w:after="50" w:line="276" w:lineRule="auto"/>
      </w:pPr>
      <w:r>
        <w:rPr>
          <w:rFonts w:ascii="Times New Roman" w:hAnsi="Times New Roman" w:eastAsia="Times New Roman"/>
          <w:sz w:val="23"/>
          <w:szCs w:val="23"/>
        </w:rPr>
        <w:t xml:space="preserve">Ek-6: İçerik kaldırma başvuruları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Hayatın Gizliliğini İhlal Şikâyet Dilekçesi – Mahkeme Aşaması</dc:title>
  <dc:subject>Profesyonel örnek dilekçe – düzenlenebilir Word belgesi</dc:subject>
  <dc:creator>Av. Halil Bakırcı</dc:creator>
  <cp:lastModifiedBy>Av. Halil Bakırcı</cp:lastModifiedBy>
  <dcterms:created xsi:type="dcterms:W3CDTF">2026-09-10T22:28:08Z</dcterms:created>
  <dcterms:modified xsi:type="dcterms:W3CDTF">2026-09-10T22:28:08Z</dcterms:modified>
</cp:coreProperties>
</file>