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ÖZEL HAYATIN GIZLILIĞINI İHLAL ŞIKÂYET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CUMHURIYET BAŞSAVCILIĞI VEYA KOLLUK; IÇERIK KALDIRMA IÇIN GÖREVLI MERCI AYRICA DEĞERLENDIRILIR.</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Deniz Kaya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İşletme A.Ş. / ilgili kamu kurumu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Sicil No: 45163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Özel Hayatın Gizliliğini İhlal Şikâyet Dilekçesi kapsamında i̇çeriğin ve hesap bilgilerinin korunması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03.02.2026 — gerçek belge tarihini yazınız</w:t>
            </w:r>
          </w:p>
        </w:tc>
      </w:tr>
    </w:tbl>
    <w:p>
      <w:pPr>
        <w:pStyle w:val="Heading1"/>
      </w:pPr>
      <w:r>
        <w:t>AÇIKLAMALAR</w:t>
      </w:r>
    </w:p>
    <w:p>
      <w:pPr>
        <w:keepLines w:val="0"/>
        <w:ind w:firstLine="340"/>
      </w:pPr>
      <w:r>
        <w:rPr>
          <w:b/>
          <w:color w:val="1E3A8A"/>
        </w:rPr>
        <w:t xml:space="preserve">1. </w:t>
      </w:r>
      <w:r>
        <w:t>Örnek olayda Rıza olmadan çekilip sosyal medyada yayımlanan özel görüntünün kaldırılması ve sorumluların soruşturulması istenir. Başvurucu, uyuşmazlığı 03.02.2026 tarihinde öğrenmiş; ilk yazılı başvurusunu 12.03.2026 tarihinde yapmıştır. Bu tarihler yalnız örnek olup gerçek dosyadaki tebliğ, öğrenme veya işlem tarihleriyle değiştirilmelidir.</w:t>
      </w:r>
    </w:p>
    <w:p>
      <w:pPr>
        <w:keepLines w:val="0"/>
        <w:ind w:firstLine="340"/>
      </w:pPr>
      <w:r>
        <w:rPr>
          <w:b/>
          <w:color w:val="1E3A8A"/>
        </w:rPr>
        <w:t xml:space="preserve">2. </w:t>
      </w:r>
      <w:r>
        <w:t>Görüntü/kaydın niteliği tarih, yer, kişi ve belge bağlantısıyla açıklanır. Görüntü/kaydın niteliği bakımından olayın başlangıcı, tarafların sıfatı ve işlem tarihi birlikte gösterilmiştir. Bu olgu URL ve ekran görüntüsü ile doğrulanmakta; belge Ek-1 olarak sunulmaktadır.</w:t>
      </w:r>
    </w:p>
    <w:p>
      <w:pPr>
        <w:keepLines w:val="0"/>
        <w:ind w:firstLine="340"/>
      </w:pPr>
      <w:r>
        <w:rPr>
          <w:b/>
          <w:color w:val="1E3A8A"/>
        </w:rPr>
        <w:t xml:space="preserve">3. </w:t>
      </w:r>
      <w:r>
        <w:t>Çekim ve paylaşım tarihi tarih, yer, kişi ve belge bağlantısıyla açıklanır. Çekim ve paylaşım tarihi yönünden yalnız sonuç belirtilmemiş, işlemin nasıl gerçekleştiği ve başvurucunun hangi hakkının etkilendiği açıklanmıştır. Noter/e-tespit varsa, iddiayı doğrulayan temel kayıt olarak Ek-2 numarasıyla dosyaya eklenmiştir.</w:t>
      </w:r>
    </w:p>
    <w:p>
      <w:pPr>
        <w:keepLines w:val="0"/>
        <w:ind w:firstLine="340"/>
      </w:pPr>
      <w:r>
        <w:rPr>
          <w:b/>
          <w:color w:val="1E3A8A"/>
        </w:rPr>
        <w:t xml:space="preserve">4. </w:t>
      </w:r>
      <w:r>
        <w:t>Rıza bulunmaması tarih, yer, kişi ve belge bağlantısıyla açıklanır. Rıza bulunmaması somutlaştırılırken tarih sırası korunmuş ve karşı tarafın ya da kurumun işlemi açıkça gösterilmiştir. Platform bildirimleri üzerinde yer alan tarih ve kayıt numarası dilekçedeki anlatımla uyumludur.</w:t>
      </w:r>
    </w:p>
    <w:p>
      <w:pPr>
        <w:keepLines w:val="0"/>
        <w:ind w:firstLine="340"/>
      </w:pPr>
      <w:r>
        <w:rPr>
          <w:b/>
          <w:color w:val="1E3A8A"/>
        </w:rPr>
        <w:t xml:space="preserve">5. </w:t>
      </w:r>
      <w:r>
        <w:t>Yayın hesabı/URL tarih, yer, kişi ve belge bağlantısıyla açıklanır. Yayın hesabı/URL başlığı altında başvurunun hukuki yararı açıklanmıştır. İstenen sonucun neden gerekli olduğu, Tanıklar ile talep arasındaki bağlantı kurularak gösterilmiştir.</w:t>
      </w:r>
    </w:p>
    <w:p>
      <w:pPr>
        <w:keepLines w:val="0"/>
        <w:ind w:firstLine="340"/>
      </w:pPr>
      <w:r>
        <w:rPr>
          <w:b/>
          <w:color w:val="1E3A8A"/>
        </w:rPr>
        <w:t xml:space="preserve">6. </w:t>
      </w:r>
      <w:r>
        <w:t>Mağdur üzerindeki etki tarih, yer, kişi ve belge bağlantısıyla açıklanır. Mağdur üzerindeki etki konusunda örnek olayın özel koşulları belirtilmiş; varsayıma dayalı ifade kullanılmamıştır. Cihaz ve hesap kayıtları mevcut değilse belgenin hangi kurumdan ve hangi dönem için getirtilmesi istendiği ayrıca yazılmalıdır.</w:t>
      </w:r>
    </w:p>
    <w:p>
      <w:pPr>
        <w:pStyle w:val="Heading1"/>
      </w:pPr>
      <w:r>
        <w:t>HUKUKİ DEĞERLENDİRME</w:t>
      </w:r>
    </w:p>
    <w:p>
      <w:r>
        <w:t>Başvurunun hukuki dayanağı 5237 sayılı TCK m.134, 139; TCK m.73; 5651 sayılı Kanun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5237 sayılı TCK m.134, 139</w:t>
      </w:r>
    </w:p>
    <w:p>
      <w:r>
        <w:t>5237 sayılı TCK m.134, 139 hükümleri başvurunun maddi ve usul şartlarını belirler. Güncel resmî metin, tebliğ ve işlem tarihinde birlikte değerlendirilir.</w:t>
      </w:r>
    </w:p>
    <w:p>
      <w:pPr>
        <w:pStyle w:val="Heading2"/>
      </w:pPr>
      <w:r>
        <w:t>TCK m.73</w:t>
      </w:r>
    </w:p>
    <w:p>
      <w:r>
        <w:t>TCK m.73 hükümleri başvurunun maddi ve usul şartlarını belirler. Güncel resmî metin, tebliğ ve işlem tarihinde birlikte değerlendirilir.</w:t>
      </w:r>
    </w:p>
    <w:p>
      <w:pPr>
        <w:pStyle w:val="Heading2"/>
      </w:pPr>
      <w:r>
        <w:t>5651 sayılı Kanun</w:t>
      </w:r>
    </w:p>
    <w:p>
      <w:r>
        <w:t>5651 sayılı Kanun hükümleri başvurunun maddi ve usul şartlarını belirler. Güncel resmî metin, tebliğ ve işlem tarihinde birlikte değerlendirilir.</w:t>
      </w:r>
    </w:p>
    <w:p>
      <w:pPr>
        <w:pStyle w:val="Heading1"/>
      </w:pPr>
      <w:r>
        <w:t>DELİLLER</w:t>
      </w:r>
    </w:p>
    <w:p>
      <w:r>
        <w:t>1. Ek-1: URL ve ekran görüntüsü — ilgili olay paragrafını doğrulayan tarihli ve okunaklı kayıt.</w:t>
      </w:r>
    </w:p>
    <w:p>
      <w:r>
        <w:t>2. Ek-2: Noter/e-tespit varsa — ilgili olay paragrafını doğrulayan tarihli ve okunaklı kayıt.</w:t>
      </w:r>
    </w:p>
    <w:p>
      <w:r>
        <w:t>3. Ek-3: Platform bildirimleri — ilgili olay paragrafını doğrulayan tarihli ve okunaklı kayıt.</w:t>
      </w:r>
    </w:p>
    <w:p>
      <w:r>
        <w:t>4. Ek-4: Tanıklar — ilgili olay paragrafını doğrulayan tarihli ve okunaklı kayıt.</w:t>
      </w:r>
    </w:p>
    <w:p>
      <w:r>
        <w:t>5. Ek-5: Cihaz ve hesap kayıtları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5237 sayılı TCK m.134, 139; TCK m.73; 5651 sayılı Kanun ve somut olaya uygulanacak diğer mevzuat.</w:t>
      </w:r>
    </w:p>
    <w:p>
      <w:pPr>
        <w:pStyle w:val="Heading1"/>
      </w:pPr>
      <w:r>
        <w:t>SONUÇ VE İSTEM</w:t>
      </w:r>
    </w:p>
    <w:p>
      <w:pPr>
        <w:keepNext/>
      </w:pPr>
      <w:r>
        <w:t>Yukarıda açıklanan ve resen dikkate alınacak nedenlerle;</w:t>
      </w:r>
    </w:p>
    <w:p>
      <w:r>
        <w:t>1. İçeriğin ve hesap bilgilerinin korunması.</w:t>
      </w:r>
    </w:p>
    <w:p>
      <w:r>
        <w:t>2. Şüphelinin tespiti.</w:t>
      </w:r>
    </w:p>
    <w:p>
      <w:r>
        <w:t>3. Erişimin engellenmesi/kaldırma yollarının değerlendirilmesi.</w:t>
      </w:r>
    </w:p>
    <w:p>
      <w:r>
        <w:t>4. Kamu davası açılması.</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12.03.2026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Deniz Kaya</w:t>
              <w:br/>
              <w:t>İmza</w:t>
            </w:r>
          </w:p>
        </w:tc>
      </w:tr>
    </w:tbl>
    <w:p>
      <w:pPr>
        <w:pStyle w:val="Heading1"/>
      </w:pPr>
      <w:r>
        <w:t>EKLER</w:t>
      </w:r>
    </w:p>
    <w:p>
      <w:r>
        <w:t>1. URL ve ekran görüntüsü</w:t>
      </w:r>
    </w:p>
    <w:p>
      <w:r>
        <w:t>2. Noter/e-tespit varsa</w:t>
      </w:r>
    </w:p>
    <w:p>
      <w:r>
        <w:t>3. Platform bildirimleri</w:t>
      </w:r>
    </w:p>
    <w:p>
      <w:r>
        <w:t>4. Tanıklar</w:t>
      </w:r>
    </w:p>
    <w:p>
      <w:r>
        <w:t>5. Cihaz ve hesap kayıtları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Cumhuriyet Başsavcılığı veya kolluk; içerik kaldırma için görevli merci ayrıca değerlendirilir.</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Şikâyete bağlı hâlde fail ve fiilin öğrenilmesinden itibaren altı ay; içerik yayılıyorsa gecikmeden.</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Özel alan, kayıt/paylaşım yöntemi, rıza bulunmaması ve erişim kapsamı gösterilir.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03.02.2026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URL ve ekran görüntüsü</w:t>
            </w:r>
          </w:p>
        </w:tc>
      </w:tr>
      <w:tr>
        <w:tc>
          <w:tcPr>
            <w:tcW w:type="dxa" w:w="3457"/>
            <w:tcMar>
              <w:top w:w="110" w:type="dxa"/>
              <w:start w:w="120" w:type="dxa"/>
              <w:bottom w:w="110" w:type="dxa"/>
              <w:end w:w="120" w:type="dxa"/>
            </w:tcMar>
          </w:tcPr>
          <w:p>
            <w:r>
              <w:t>12.03.2026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Noter/e-tespit varsa</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Platform bildirimleri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Görüntü/kaydın niteliği</w:t>
            </w:r>
          </w:p>
        </w:tc>
        <w:tc>
          <w:tcPr>
            <w:tcW w:type="dxa" w:w="3457"/>
            <w:tcMar>
              <w:top w:w="110" w:type="dxa"/>
              <w:start w:w="120" w:type="dxa"/>
              <w:bottom w:w="110" w:type="dxa"/>
              <w:end w:w="120" w:type="dxa"/>
            </w:tcMar>
          </w:tcPr>
          <w:p>
            <w:r>
              <w:t>URL ve ekran görüntüsü</w:t>
            </w:r>
          </w:p>
        </w:tc>
        <w:tc>
          <w:tcPr>
            <w:tcW w:type="dxa" w:w="3457"/>
            <w:tcMar>
              <w:top w:w="110" w:type="dxa"/>
              <w:start w:w="120" w:type="dxa"/>
              <w:bottom w:w="110" w:type="dxa"/>
              <w:end w:w="120" w:type="dxa"/>
            </w:tcMar>
          </w:tcPr>
          <w:p>
            <w:r>
              <w:t>İçeriğin ve hesap bilgilerinin korunması</w:t>
            </w:r>
          </w:p>
        </w:tc>
      </w:tr>
      <w:tr>
        <w:tc>
          <w:tcPr>
            <w:tcW w:type="dxa" w:w="3457"/>
            <w:tcMar>
              <w:top w:w="110" w:type="dxa"/>
              <w:start w:w="120" w:type="dxa"/>
              <w:bottom w:w="110" w:type="dxa"/>
              <w:end w:w="120" w:type="dxa"/>
            </w:tcMar>
          </w:tcPr>
          <w:p>
            <w:r>
              <w:t>Çekim ve paylaşım tarihi</w:t>
            </w:r>
          </w:p>
        </w:tc>
        <w:tc>
          <w:tcPr>
            <w:tcW w:type="dxa" w:w="3457"/>
            <w:tcMar>
              <w:top w:w="110" w:type="dxa"/>
              <w:start w:w="120" w:type="dxa"/>
              <w:bottom w:w="110" w:type="dxa"/>
              <w:end w:w="120" w:type="dxa"/>
            </w:tcMar>
          </w:tcPr>
          <w:p>
            <w:r>
              <w:t>Noter/e-tespit varsa</w:t>
            </w:r>
          </w:p>
        </w:tc>
        <w:tc>
          <w:tcPr>
            <w:tcW w:type="dxa" w:w="3457"/>
            <w:tcMar>
              <w:top w:w="110" w:type="dxa"/>
              <w:start w:w="120" w:type="dxa"/>
              <w:bottom w:w="110" w:type="dxa"/>
              <w:end w:w="120" w:type="dxa"/>
            </w:tcMar>
          </w:tcPr>
          <w:p>
            <w:r>
              <w:t>Şüphelinin tespiti</w:t>
            </w:r>
          </w:p>
        </w:tc>
      </w:tr>
      <w:tr>
        <w:tc>
          <w:tcPr>
            <w:tcW w:type="dxa" w:w="3457"/>
            <w:tcMar>
              <w:top w:w="110" w:type="dxa"/>
              <w:start w:w="120" w:type="dxa"/>
              <w:bottom w:w="110" w:type="dxa"/>
              <w:end w:w="120" w:type="dxa"/>
            </w:tcMar>
          </w:tcPr>
          <w:p>
            <w:r>
              <w:t>Rıza bulunmaması</w:t>
            </w:r>
          </w:p>
        </w:tc>
        <w:tc>
          <w:tcPr>
            <w:tcW w:type="dxa" w:w="3457"/>
            <w:tcMar>
              <w:top w:w="110" w:type="dxa"/>
              <w:start w:w="120" w:type="dxa"/>
              <w:bottom w:w="110" w:type="dxa"/>
              <w:end w:w="120" w:type="dxa"/>
            </w:tcMar>
          </w:tcPr>
          <w:p>
            <w:r>
              <w:t>Platform bildirimleri</w:t>
            </w:r>
          </w:p>
        </w:tc>
        <w:tc>
          <w:tcPr>
            <w:tcW w:type="dxa" w:w="3457"/>
            <w:tcMar>
              <w:top w:w="110" w:type="dxa"/>
              <w:start w:w="120" w:type="dxa"/>
              <w:bottom w:w="110" w:type="dxa"/>
              <w:end w:w="120" w:type="dxa"/>
            </w:tcMar>
          </w:tcPr>
          <w:p>
            <w:r>
              <w:t>Erişimin engellenmesi/kaldırma yollarının değerlendirilmesi</w:t>
            </w:r>
          </w:p>
        </w:tc>
      </w:tr>
      <w:tr>
        <w:tc>
          <w:tcPr>
            <w:tcW w:type="dxa" w:w="3457"/>
            <w:tcMar>
              <w:top w:w="110" w:type="dxa"/>
              <w:start w:w="120" w:type="dxa"/>
              <w:bottom w:w="110" w:type="dxa"/>
              <w:end w:w="120" w:type="dxa"/>
            </w:tcMar>
          </w:tcPr>
          <w:p>
            <w:r>
              <w:t>Yayın hesabı/URL</w:t>
            </w:r>
          </w:p>
        </w:tc>
        <w:tc>
          <w:tcPr>
            <w:tcW w:type="dxa" w:w="3457"/>
            <w:tcMar>
              <w:top w:w="110" w:type="dxa"/>
              <w:start w:w="120" w:type="dxa"/>
              <w:bottom w:w="110" w:type="dxa"/>
              <w:end w:w="120" w:type="dxa"/>
            </w:tcMar>
          </w:tcPr>
          <w:p>
            <w:r>
              <w:t>Tanıklar</w:t>
            </w:r>
          </w:p>
        </w:tc>
        <w:tc>
          <w:tcPr>
            <w:tcW w:type="dxa" w:w="3457"/>
            <w:tcMar>
              <w:top w:w="110" w:type="dxa"/>
              <w:start w:w="120" w:type="dxa"/>
              <w:bottom w:w="110" w:type="dxa"/>
              <w:end w:w="120" w:type="dxa"/>
            </w:tcMar>
          </w:tcPr>
          <w:p>
            <w:r>
              <w:t>Kamu davası açılması</w:t>
            </w:r>
          </w:p>
        </w:tc>
      </w:tr>
      <w:tr>
        <w:tc>
          <w:tcPr>
            <w:tcW w:type="dxa" w:w="3457"/>
            <w:tcMar>
              <w:top w:w="110" w:type="dxa"/>
              <w:start w:w="120" w:type="dxa"/>
              <w:bottom w:w="110" w:type="dxa"/>
              <w:end w:w="120" w:type="dxa"/>
            </w:tcMar>
          </w:tcPr>
          <w:p>
            <w:r>
              <w:t>Mağdur üzerindeki etki</w:t>
            </w:r>
          </w:p>
        </w:tc>
        <w:tc>
          <w:tcPr>
            <w:tcW w:type="dxa" w:w="3457"/>
            <w:tcMar>
              <w:top w:w="110" w:type="dxa"/>
              <w:start w:w="120" w:type="dxa"/>
              <w:bottom w:w="110" w:type="dxa"/>
              <w:end w:w="120" w:type="dxa"/>
            </w:tcMar>
          </w:tcPr>
          <w:p>
            <w:r>
              <w:t>Cihaz ve hesap kayıtları</w:t>
            </w:r>
          </w:p>
        </w:tc>
        <w:tc>
          <w:tcPr>
            <w:tcW w:type="dxa" w:w="3457"/>
            <w:tcMar>
              <w:top w:w="110" w:type="dxa"/>
              <w:start w:w="120" w:type="dxa"/>
              <w:bottom w:w="110" w:type="dxa"/>
              <w:end w:w="120" w:type="dxa"/>
            </w:tcMar>
          </w:tcPr>
          <w:p>
            <w:r>
              <w:t>İçeriğin ve hesap bilgilerinin korunması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Şikâyete bağlı hâlde fail ve fiilin öğrenilmesinden itibaren altı ay; içerik yayılıyorsa gecikmeden.</w:t>
      </w:r>
    </w:p>
    <w:p>
      <w:r>
        <w:t>• Görev/yetki riski: Cumhuriyet Başsavcılığı veya kolluk; içerik kaldırma için görevli merci ayrıca değerlendirilir.</w:t>
      </w:r>
    </w:p>
    <w:p>
      <w:r>
        <w:t>• Ön koşul riski: Özel alan, kayıt/paylaşım yöntemi, rıza bulunmaması ve erişim kapsamı gösterilir.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Özel Hayatın Gizliliğini İhlal Şikâyet Dilekçesi Örneği 2026 | Word İndir</dc:title>
  <dc:subject>özel hayatın gizliliği şikayet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