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SATIŞ ÖNCESİ YOK OLAN BASKI İÇİN YENİDEN BASIM TALEBİ</w:t>
      </w:r>
    </w:p>
    <w:p>
      <w:pPr>
        <w:widowControl/>
      </w:pPr>
      <w:r>
        <w:t>Talep eden yayımlatan: [Ad soyad/unvan, adres, sıfat]</w:t>
        <w:br/>
        <w:t>Muhatap yayımcı: [Gerçek unvan ve bildirim adresi]</w:t>
        <w:br/>
        <w:t>Konu: TBK m.499/2 kapsamında [belirli baskı] içindeki yok olan nüshaların yerine yenilerinin konulması.</w:t>
      </w:r>
    </w:p>
    <w:p>
      <w:pPr>
        <w:keepNext/>
        <w:widowControl/>
      </w:pPr>
      <w:r>
        <w:rPr>
          <w:b/>
        </w:rPr>
        <w:t>Açıklamalar</w:t>
      </w:r>
    </w:p>
    <w:p>
      <w:pPr>
        <w:widowControl/>
      </w:pPr>
      <w:r>
        <w:t>1. [Eser adı, yazılı sözleşme tarihi ve ilgili hükümler] kapsamında yayım ilişkimiz bulunmaktadır. Sözleşme ve gerçek ekleri Ek 1'dedir. [Baskı sürümü/partisi] üretiminin tamamlandığı [gerçek tarih ve belge] ile gösterilmiştir.</w:t>
      </w:r>
    </w:p>
    <w:p>
      <w:pPr>
        <w:widowControl/>
      </w:pPr>
      <w:r>
        <w:t>2. İlgili baskının [gerçek miktarı], satışa sunulmadan önce [olay tarihi ve gerçek beklenmedik hâl açıklaması] sonucunda yok olmuştur. Üretim, stok, satışa sunulma durumu ve olay kaydı Ek 2'dedir. Kalan nüsha ve yok olan miktar ayrı gösterilmiştir.</w:t>
      </w:r>
    </w:p>
    <w:p>
      <w:pPr>
        <w:widowControl/>
      </w:pPr>
      <w:r>
        <w:t>3. Yok olanların yerine yenilerinin konulmasının aşırı masraf gerektirmediğine ilişkin somut dayanak [gerçek teklif/üretim kaydı ve kapsam]dır. Karşılaştırılan miktar ve üretim özellikleri Ek 3'te açıklanmıştır. Muhataptan açıklanması istenen kayıtlar [belirli kayıt ve dönem]dir.</w:t>
      </w:r>
    </w:p>
    <w:p>
      <w:pPr>
        <w:keepNext/>
        <w:widowControl/>
      </w:pPr>
      <w:r>
        <w:rPr>
          <w:b/>
        </w:rPr>
        <w:t>Sonuç ve talepler</w:t>
      </w:r>
    </w:p>
    <w:p>
      <w:pPr>
        <w:widowControl/>
      </w:pPr>
      <w:r>
        <w:t>TBK m.499/2 uyarınca yukarıda belirtilen yok olmuş nüshaların yerine yenilerini koymanızı; m.499/1'deki gider düzenine uygun biçimde yeniden üretim ve tamamlanma kayıtlarını tarafıma bildirmenizi talep ederim. Masraf koşuluna ilişkin farklı değerlendirmeniz varsa ilgili miktar ve üretim kapsamını gösteren dayanaklarını açıklamanızı isterim. Bu başvuru belgesiz satış, zarar veya ek yayım bedeli talebi içermez.</w:t>
      </w:r>
    </w:p>
    <w:p>
      <w:pPr>
        <w:widowControl/>
      </w:pPr>
      <w:r>
        <w:t>Ekler: 1. Yazılı yayım sözleşmesi. 2. Baskı-stok, satış öncesi durum ve olay belgeleri. 3. Miktar-masraf çizelgesi ve kaynakları. 4. Önceki ilgili yazışmalar. 5. Temsil belgesi [gerçekte varsa].</w:t>
        <w:br/>
        <w:t>Tarih: [Gerçek tarih]</w:t>
        <w:br/>
        <w:t>Talep eden: [Ad soyad/unvan ve yetkili imza]</w:t>
      </w:r>
    </w:p>
    <w:p>
      <w:pPr>
        <w:widowControl/>
      </w:pPr>
      <w:r>
        <w:br w:type="page"/>
      </w:r>
    </w:p>
    <w:p>
      <w:pPr>
        <w:pStyle w:val="Title"/>
        <w:widowControl/>
      </w:pPr>
      <w:r>
        <w:t>Baskı, olay ve masraf kontrolü</w:t>
      </w:r>
    </w:p>
    <w:p>
      <w:pPr>
        <w:widowControl/>
      </w:pPr>
      <w:r>
        <w:t>Tamamlanmış baskı ve satış öncesi yok olma kayıtları miktar üzerinden eşleştirilir. M.499/2 masraf koşulu kendi kaynağıyla gösterilir.</w:t>
      </w:r>
    </w:p>
    <w:p>
      <w:pPr>
        <w:pStyle w:val="Heading1"/>
        <w:widowControl/>
      </w:pPr>
      <w:r>
        <w:t>Ek A Baskı ve olay</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 / ek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[Eser / taraflar]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[İmzalı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[Baskı sürümü]</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Üretim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[Tamamlanma / parti]</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tarih]</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miktar]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Yok olma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[Olay / kaynak]</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[Satış öncesi bağ]</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[Yok olan / kalan]</w:t>
            </w:r>
          </w:p>
        </w:tc>
      </w:tr>
    </w:tbl>
    <w:p>
      <w:pPr>
        <w:widowControl/>
      </w:pPr>
    </w:p>
    <w:p>
      <w:pPr>
        <w:pStyle w:val="Heading1"/>
        <w:widowControl/>
      </w:pPr>
      <w:r>
        <w:t>Ek B Yeniden üretim ve masraf</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kaynak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 /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Ayrı 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Miktar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[Yok olan adet]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[Kaynak satırı]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[Sağlamlar hariç]</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Teklif</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 / kapsam]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masraf]</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üretim]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Koşul</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[M.499/2 dayanağı]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[Somut açıklama]</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[Sabit oran yok]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Yeni basım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[Dosya / takvim]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tamamlanma]</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[Kalan talep]</w:t>
            </w:r>
          </w:p>
        </w:tc>
      </w:tr>
    </w:tbl>
    <w:p>
      <w:pPr>
        <w:widowControl/>
      </w:pPr>
    </w:p>
    <w:p>
      <w:pPr>
        <w:pStyle w:val="Heading1"/>
        <w:widowControl/>
      </w:pPr>
      <w:r>
        <w:t>Kanuni koşul</w:t>
      </w:r>
    </w:p>
    <w:p>
      <w:pPr>
        <w:widowControl/>
      </w:pPr>
      <w:r>
        <w:t>M.499/1 tamamlanmış baskının satış öncesi beklenmedik yok olmasını düzenler. M.499/2 aşırı masraf gerektirmeksizin yenilerini koyabilecek yayımcıyı bunu yapmakla yükümlü tutar.</w:t>
      </w:r>
    </w:p>
    <w:p>
      <w:pPr>
        <w:pStyle w:val="Heading1"/>
        <w:widowControl/>
      </w:pPr>
      <w:r>
        <w:t>Talebin sınırı</w:t>
      </w:r>
    </w:p>
    <w:p>
      <w:pPr>
        <w:widowControl/>
      </w:pPr>
      <w:r>
        <w:t>Yok olan gerçek miktar istenir. Bu yeniden basımın gideri yayımcıya aittir; yayımlatana ayrıca bedel ödenmeden gerçekleştirilir. M.491/3 tükenmiş baskı ve m.498 eser teslimi kaybı ayrıdır.</w:t>
      </w:r>
    </w:p>
    <w:p>
      <w:pPr>
        <w:pStyle w:val="Heading1"/>
        <w:widowControl/>
      </w:pPr>
      <w:r>
        <w:t>Hukuki dayanak</w:t>
      </w:r>
    </w:p>
    <w:p>
      <w:pPr>
        <w:widowControl/>
      </w:pPr>
      <w:r>
        <w:t>6098 sayılı Türk Borçlar Kanunu m.499; ilgili m.487–489, 491–493 ve 498. Satış öncesi yok olan baskının yeniden üretim talebi.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Satışa sunulmadan yok olan baskının yeniden basılması talep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