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jc w:val="center"/>
        <w:spacing w:after="30"/>
      </w:pPr>
      <w:r>
        <w:rPr>
          <w:b/>
          <w:sz w:val="18"/>
          <w:szCs w:val="18"/>
          <w:color w:val="1E3A8A"/>
        </w:rPr>
        <w:t xml:space="preserve">BAKIRCI &amp; KESKİN HUKUK BÜROSU</w:t>
      </w:r>
    </w:p>
    <w:p>
      <w:pPr>
        <w:jc w:val="center"/>
        <w:spacing w:after="80"/>
      </w:pPr>
      <w:r>
        <w:rPr>
          <w:b/>
          <w:sz w:val="32"/>
          <w:szCs w:val="32"/>
          <w:color w:val="1E3A8A"/>
        </w:rPr>
        <w:t xml:space="preserve">SİGORTA TAHKİM KOMİSYONU BAŞVURU DİLEKÇESİ</w:t>
      </w:r>
    </w:p>
    <w:p>
      <w:pPr>
        <w:jc w:val="center"/>
        <w:spacing w:after="180"/>
      </w:pPr>
      <w:r>
        <w:rPr>
          <w:b/>
          <w:sz w:val="22"/>
          <w:szCs w:val="22"/>
          <w:color w:val="E3A008"/>
        </w:rPr>
        <w:t xml:space="preserve">2026 • Profesyonel Doldurulmuş Word Örneği</w:t>
      </w:r>
    </w:p>
    <w:p>
      <w:pPr>
        <w:spacing w:after="180"/>
      </w:pPr>
      <w:r>
        <w:rPr>
          <w:i/>
          <w:sz w:val="20"/>
          <w:szCs w:val="20"/>
        </w:rPr>
        <w:t xml:space="preserve">Bu belge boş şablon değildir. Aşağıdaki olay, tarihler, tutarlar ve kişi bilgileri öğretici örnek olarak doldurulmuştur. Gerçek dosyada tüm örnek bilgiler resmî belgelerle değiştirilmelidir.</w:t>
      </w:r>
    </w:p>
    <w:p>
      <w:pPr>
        <w:jc w:val="center"/>
        <w:spacing w:after="140"/>
      </w:pPr>
      <w:r>
        <w:rPr>
          <w:b/>
          <w:sz w:val="24"/>
          <w:szCs w:val="24"/>
        </w:rPr>
        <w:t xml:space="preserve">SİGORTA TAHKİM KOMİSYONU BAŞKANLIĞINA</w:t>
      </w:r>
    </w:p>
    <w:p>
      <w:pPr>
        <w:spacing w:after="100"/>
      </w:pPr>
      <w:r>
        <w:rPr>
          <w:b/>
          <w:sz w:val="22"/>
          <w:szCs w:val="22"/>
        </w:rPr>
        <w:t xml:space="preserve">Başvuru Sahibi: </w:t>
      </w:r>
      <w:r>
        <w:rPr>
          <w:sz w:val="22"/>
          <w:szCs w:val="22"/>
        </w:rPr>
        <w:t xml:space="preserve">Mehmet KAYA – T.C. Kimlik No: 11111111110</w:t>
      </w:r>
    </w:p>
    <w:p>
      <w:pPr>
        <w:spacing w:after="100"/>
      </w:pPr>
      <w:r>
        <w:rPr>
          <w:b/>
          <w:sz w:val="22"/>
          <w:szCs w:val="22"/>
        </w:rPr>
        <w:t xml:space="preserve">Adres: </w:t>
      </w:r>
      <w:r>
        <w:rPr>
          <w:sz w:val="22"/>
          <w:szCs w:val="22"/>
        </w:rPr>
        <w:t xml:space="preserve">[Gerçek tebligat adresi yazılacaktır]</w:t>
      </w:r>
    </w:p>
    <w:p>
      <w:pPr>
        <w:spacing w:after="100"/>
      </w:pPr>
      <w:r>
        <w:rPr>
          <w:b/>
          <w:sz w:val="22"/>
          <w:szCs w:val="22"/>
        </w:rPr>
        <w:t xml:space="preserve">Aleyhine Başvurulan: </w:t>
      </w:r>
      <w:r>
        <w:rPr>
          <w:sz w:val="22"/>
          <w:szCs w:val="22"/>
        </w:rPr>
        <w:t xml:space="preserve">Örnek Sigorta A.Ş.</w:t>
      </w:r>
    </w:p>
    <w:p>
      <w:pPr>
        <w:spacing w:after="100"/>
      </w:pPr>
      <w:r>
        <w:rPr>
          <w:b/>
          <w:sz w:val="22"/>
          <w:szCs w:val="22"/>
        </w:rPr>
        <w:t xml:space="preserve">Poliçe / Hasar Dosyası: </w:t>
      </w:r>
      <w:r>
        <w:rPr>
          <w:sz w:val="22"/>
          <w:szCs w:val="22"/>
        </w:rPr>
        <w:t xml:space="preserve">2026-KSK-145872 / HSR-2026-88421</w:t>
      </w:r>
    </w:p>
    <w:p>
      <w:pPr>
        <w:spacing w:after="100"/>
      </w:pPr>
      <w:r>
        <w:rPr>
          <w:b/>
          <w:sz w:val="22"/>
          <w:szCs w:val="22"/>
        </w:rPr>
        <w:t xml:space="preserve">KONU: </w:t>
      </w:r>
      <w:r>
        <w:rPr>
          <w:sz w:val="22"/>
          <w:szCs w:val="22"/>
        </w:rPr>
        <w:t xml:space="preserve">Kasko poliçesi kapsamında eksik ödenen 130.000 TL sigorta tazminatının temerrüt tarihinden itibaren yasal faizi ve giderleriyle tahsili talebidir.</w:t>
      </w:r>
    </w:p>
    <w:p>
      <w:pPr>
        <w:spacing w:after="100"/>
      </w:pPr>
      <w:r>
        <w:rPr>
          <w:b/>
          <w:sz w:val="22"/>
          <w:szCs w:val="22"/>
        </w:rPr>
        <w:t xml:space="preserve">Uyuşmazlık Değeri: </w:t>
      </w:r>
      <w:r>
        <w:rPr>
          <w:sz w:val="22"/>
          <w:szCs w:val="22"/>
        </w:rPr>
        <w:t xml:space="preserve">130.000 TL</w:t>
      </w:r>
    </w:p>
    <w:p>
      <w:pPr>
        <w:pStyle w:val="Heading1"/>
        <w:spacing w:after="100"/>
      </w:pPr>
      <w:r>
        <w:rPr>
          <w:b/>
          <w:sz w:val="24"/>
          <w:szCs w:val="24"/>
          <w:color w:val="1E3A8A"/>
        </w:rPr>
        <w:t xml:space="preserve">AÇIKLAMALAR</w:t>
      </w:r>
    </w:p>
    <w:p>
      <w:pPr>
        <w:spacing w:after="90"/>
      </w:pPr>
      <w:r>
        <w:rPr>
          <w:sz w:val="21"/>
          <w:szCs w:val="21"/>
        </w:rPr>
        <w:t xml:space="preserve">1. Başvuru sahibine ait 33 ABC 2026 plakalı araç, 01.01.2026–01.01.2027 tarihleri arasında geçerli kasko poliçesiyle aleyhine başvurulan sigorta şirketi nezdinde teminat altındadır. Poliçe primi süresinde ödenmiştir.</w:t>
      </w:r>
    </w:p>
    <w:p>
      <w:pPr>
        <w:spacing w:after="90"/>
      </w:pPr>
      <w:r>
        <w:rPr>
          <w:sz w:val="21"/>
          <w:szCs w:val="21"/>
        </w:rPr>
        <w:t xml:space="preserve">2. 12.06.2026 tarihinde meydana gelen kazada aracın ön mekanik aksamı, soğutma sistemi, süspansiyon ve kaporta parçaları hasarlanmış; aynı gün hasar ihbarı yapılarak HSR-2026-88421 numaralı hasar dosyası açılmıştır.</w:t>
      </w:r>
    </w:p>
    <w:p>
      <w:pPr>
        <w:spacing w:after="90"/>
      </w:pPr>
      <w:r>
        <w:rPr>
          <w:sz w:val="21"/>
          <w:szCs w:val="21"/>
        </w:rPr>
        <w:t xml:space="preserve">3. Yetkili servis ve ekspertiz evrakında zorunlu onarım kalemleri toplamı 210.000 TL düzeyinde belirlenmiştir. Sigorta şirketi 05.07.2026 tarihinde 80.000 TL ödeme yapmış; hangi kalemlerin hangi poliçe hükmüyle düşüldüğünü denetlenebilir biçimde açıklamamıştır.</w:t>
      </w:r>
    </w:p>
    <w:p>
      <w:pPr>
        <w:spacing w:after="90"/>
      </w:pPr>
      <w:r>
        <w:rPr>
          <w:sz w:val="21"/>
          <w:szCs w:val="21"/>
        </w:rPr>
        <w:t xml:space="preserve">4. Başvuru sahibi 10.07.2026 tarihli yazılı müracaatıyla kesinti gerekçesini, hesap cetvelini ve 130.000 TL bakiye tazminatın ödenmesini talep etmiş; müracaat 11.07.2026 tarihinde şirkete tebliğ edilmiştir.</w:t>
      </w:r>
    </w:p>
    <w:p>
      <w:pPr>
        <w:spacing w:after="90"/>
      </w:pPr>
      <w:r>
        <w:rPr>
          <w:sz w:val="21"/>
          <w:szCs w:val="21"/>
        </w:rPr>
        <w:t xml:space="preserve">5. Sigorta şirketi 01.08.2026 tarihli nihai cevabıyla ek ödeme talebini reddetmiştir. Böylece 5684 sayılı Sigortacılık Kanunu m.30 kapsamında sigortacıya ön başvuru koşulu tamamlanmıştır.</w:t>
      </w:r>
    </w:p>
    <w:p>
      <w:pPr>
        <w:spacing w:after="90"/>
      </w:pPr>
      <w:r>
        <w:rPr>
          <w:sz w:val="21"/>
          <w:szCs w:val="21"/>
        </w:rPr>
        <w:t xml:space="preserve">6. TTK m.1409 uyarınca sigortacı, sözleşmede öngörülen rizikonun gerçekleşmesinden doğan zarardan sorumludur. TTK m.1427 uyarınca tazminat ödeme borcu kanuni şartlarda muaccel olur. Somut uyuşmazlıkta zarar, poliçe, hasar dosyası ve teknik belgeler birlikte değerlendirilmelidir.</w:t>
      </w:r>
    </w:p>
    <w:p>
      <w:pPr>
        <w:spacing w:after="90"/>
      </w:pPr>
      <w:r>
        <w:rPr>
          <w:sz w:val="21"/>
          <w:szCs w:val="21"/>
        </w:rPr>
        <w:t xml:space="preserve">7. Hasar miktarının ve kesinti gerekçesinin teknik inceleme gerektirmesi hâlinde; parça/işçilik rayiçleri, kaza ile hasar arasındaki illiyet ve 80.000 TL ödemenin yeterliliği yönünden bilirkişi incelemesi yapılması talep edilmektedir.</w:t>
      </w:r>
    </w:p>
    <w:p>
      <w:pPr>
        <w:pStyle w:val="Heading1"/>
        <w:spacing w:after="100"/>
      </w:pPr>
      <w:r>
        <w:rPr>
          <w:b/>
          <w:sz w:val="26"/>
          <w:szCs w:val="26"/>
          <w:color w:val="1E3A8A"/>
        </w:rPr>
        <w:t xml:space="preserve">HUKUKİ DAYANAK VE DOSYA STRATEJİSİ</w:t>
      </w:r>
    </w:p>
    <w:p>
      <w:pPr>
        <w:pStyle w:val="Heading2"/>
        <w:spacing w:after="100"/>
      </w:pPr>
      <w:r>
        <w:rPr>
          <w:b/>
          <w:sz w:val="22"/>
          <w:szCs w:val="22"/>
        </w:rPr>
        <w:t xml:space="preserve">1) 5684 sayılı Sigortacılık Kanunu m.30</w:t>
      </w:r>
    </w:p>
    <w:p>
      <w:pPr>
        <w:spacing w:after="100"/>
      </w:pPr>
      <w:r>
        <w:rPr>
          <w:sz w:val="21"/>
          <w:szCs w:val="21"/>
        </w:rPr>
        <w:t xml:space="preserve">Sigorta tahkimi bu maddeyle düzenlenir. Başvurudan önce sigorta kuruluşuna yazılı müracaat yapılmış olmalı; nihai cevap yetersizse veya ilgili bekleme süresi sonunda cevap verilmemişse tahkim yoluna gidilmelidir. Kasko gibi ihtiyari sigortalarda ayrıca sigorta kuruluşunun tahkim sistemine üyeliği ve rizikonun üyelik tarihi sonrasına denk gelip gelmediği kontrol edilmelidir.</w:t>
      </w:r>
    </w:p>
    <w:p>
      <w:pPr>
        <w:pStyle w:val="Heading2"/>
        <w:spacing w:after="100"/>
      </w:pPr>
      <w:r>
        <w:rPr>
          <w:b/>
          <w:sz w:val="22"/>
          <w:szCs w:val="22"/>
        </w:rPr>
        <w:t xml:space="preserve">2) 6102 sayılı Türk Ticaret Kanunu m.1409</w:t>
      </w:r>
    </w:p>
    <w:p>
      <w:pPr>
        <w:spacing w:after="100"/>
      </w:pPr>
      <w:r>
        <w:rPr>
          <w:sz w:val="21"/>
          <w:szCs w:val="21"/>
        </w:rPr>
        <w:t xml:space="preserve">Sigortacının teminat kapsamındaki rizikodan doğan zarar bakımından sorumluluğunu düzenler. Dilekçede “hasar var” denilmesi yetmez; hangi hasar kaleminin poliçe kapsamında olduğu, hangi belgeyle ispatlandığı ve sigortacının hangi kesintiyi neden yaptığı açıkça gösterilmelidir.</w:t>
      </w:r>
    </w:p>
    <w:p>
      <w:pPr>
        <w:pStyle w:val="Heading2"/>
        <w:spacing w:after="100"/>
      </w:pPr>
      <w:r>
        <w:rPr>
          <w:b/>
          <w:sz w:val="22"/>
          <w:szCs w:val="22"/>
        </w:rPr>
        <w:t xml:space="preserve">3) 6102 sayılı Türk Ticaret Kanunu m.1427</w:t>
      </w:r>
    </w:p>
    <w:p>
      <w:pPr>
        <w:spacing w:after="100"/>
      </w:pPr>
      <w:r>
        <w:rPr>
          <w:sz w:val="21"/>
          <w:szCs w:val="21"/>
        </w:rPr>
        <w:t xml:space="preserve">Sigorta tazminatının muacceliyeti ve ödeme borcu bakımından temel hükümdür. Faiz talebi yazılırken dosyadaki ihbar, evrak teslimi, nihai cevap ve temerrüt tarihleri kronolojik olarak gösterilmeli; varsayımsal tarih kullanılmamalıdır.</w:t>
      </w:r>
    </w:p>
    <w:p>
      <w:pPr>
        <w:pStyle w:val="Heading1"/>
        <w:spacing w:after="100"/>
      </w:pPr>
      <w:r>
        <w:rPr>
          <w:b/>
          <w:sz w:val="24"/>
          <w:szCs w:val="24"/>
          <w:color w:val="1E3A8A"/>
        </w:rPr>
        <w:t xml:space="preserve">İDDİA – DELİL EŞLEŞTİRME TABLOSU</w:t>
      </w:r>
    </w:p>
    <w:tbl>
      <w:tblPr>
        <w:tblW w:w="0" w:type="auto"/>
        <w:tblBorders>
          <w:top w:val="single" w:sz="6" w:color="D9E2F3"/>
          <w:left w:val="single" w:sz="6" w:color="D9E2F3"/>
          <w:bottom w:val="single" w:sz="6" w:color="D9E2F3"/>
          <w:right w:val="single" w:sz="6" w:color="D9E2F3"/>
          <w:insideH w:val="single" w:sz="4" w:color="D9E2F3"/>
          <w:insideV w:val="single" w:sz="4" w:color="D9E2F3"/>
        </w:tblBorders>
      </w:tblPr>
      <w:tr>
        <w:tc>
          <w:tcPr>
            <w:tcW w:w="3400" w:type="dxa"/>
            <w:shd w:fill="DCE6F1"/>
          </w:tcPr>
          <w:p>
            <w:pPr>
              <w:spacing w:after="30"/>
            </w:pPr>
            <w:r>
              <w:rPr>
                <w:b/>
                <w:sz w:val="20"/>
                <w:szCs w:val="20"/>
              </w:rPr>
              <w:t xml:space="preserve">İddia</w:t>
            </w:r>
          </w:p>
        </w:tc>
        <w:tc>
          <w:tcPr>
            <w:tcW w:w="3400" w:type="dxa"/>
            <w:shd w:fill="DCE6F1"/>
          </w:tcPr>
          <w:p>
            <w:pPr>
              <w:spacing w:after="30"/>
            </w:pPr>
            <w:r>
              <w:rPr>
                <w:b/>
                <w:sz w:val="20"/>
                <w:szCs w:val="20"/>
              </w:rPr>
              <w:t xml:space="preserve">Dosyada gösterilecek delil</w:t>
            </w:r>
          </w:p>
        </w:tc>
      </w:tr>
      <w:tr>
        <w:tc>
          <w:tcPr>
            <w:tcW w:w="3400" w:type="dxa"/>
            <w:shd w:fill="FFFFFF"/>
          </w:tcPr>
          <w:p>
            <w:pPr>
              <w:spacing w:after="30"/>
            </w:pPr>
            <w:r>
              <w:rPr>
                <w:sz w:val="20"/>
                <w:szCs w:val="20"/>
              </w:rPr>
              <w:t xml:space="preserve">Poliçe yürürlükteydi</w:t>
            </w:r>
          </w:p>
        </w:tc>
        <w:tc>
          <w:tcPr>
            <w:tcW w:w="3400" w:type="dxa"/>
            <w:shd w:fill="FFFFFF"/>
          </w:tcPr>
          <w:p>
            <w:pPr>
              <w:spacing w:after="30"/>
            </w:pPr>
            <w:r>
              <w:rPr>
                <w:sz w:val="20"/>
                <w:szCs w:val="20"/>
              </w:rPr>
              <w:t xml:space="preserve">Kasko poliçesi + prim ödeme kaydı</w:t>
            </w:r>
          </w:p>
        </w:tc>
      </w:tr>
      <w:tr>
        <w:tc>
          <w:tcPr>
            <w:tcW w:w="3400" w:type="dxa"/>
            <w:shd w:fill="FFFFFF"/>
          </w:tcPr>
          <w:p>
            <w:pPr>
              <w:spacing w:after="30"/>
            </w:pPr>
            <w:r>
              <w:rPr>
                <w:sz w:val="20"/>
                <w:szCs w:val="20"/>
              </w:rPr>
              <w:t xml:space="preserve">Riziko gerçekleşti</w:t>
            </w:r>
          </w:p>
        </w:tc>
        <w:tc>
          <w:tcPr>
            <w:tcW w:w="3400" w:type="dxa"/>
            <w:shd w:fill="FFFFFF"/>
          </w:tcPr>
          <w:p>
            <w:pPr>
              <w:spacing w:after="30"/>
            </w:pPr>
            <w:r>
              <w:rPr>
                <w:sz w:val="20"/>
                <w:szCs w:val="20"/>
              </w:rPr>
              <w:t xml:space="preserve">Kaza/kolluk kaydı + fotoğraflar</w:t>
            </w:r>
          </w:p>
        </w:tc>
      </w:tr>
      <w:tr>
        <w:tc>
          <w:tcPr>
            <w:tcW w:w="3400" w:type="dxa"/>
            <w:shd w:fill="FFFFFF"/>
          </w:tcPr>
          <w:p>
            <w:pPr>
              <w:spacing w:after="30"/>
            </w:pPr>
            <w:r>
              <w:rPr>
                <w:sz w:val="20"/>
                <w:szCs w:val="20"/>
              </w:rPr>
              <w:t xml:space="preserve">Hasar 210.000 TL</w:t>
            </w:r>
          </w:p>
        </w:tc>
        <w:tc>
          <w:tcPr>
            <w:tcW w:w="3400" w:type="dxa"/>
            <w:shd w:fill="FFFFFF"/>
          </w:tcPr>
          <w:p>
            <w:pPr>
              <w:spacing w:after="30"/>
            </w:pPr>
            <w:r>
              <w:rPr>
                <w:sz w:val="20"/>
                <w:szCs w:val="20"/>
              </w:rPr>
              <w:t xml:space="preserve">Eksper raporu + servis teklifi/fatura</w:t>
            </w:r>
          </w:p>
        </w:tc>
      </w:tr>
      <w:tr>
        <w:tc>
          <w:tcPr>
            <w:tcW w:w="3400" w:type="dxa"/>
            <w:shd w:fill="FFFFFF"/>
          </w:tcPr>
          <w:p>
            <w:pPr>
              <w:spacing w:after="30"/>
            </w:pPr>
            <w:r>
              <w:rPr>
                <w:sz w:val="20"/>
                <w:szCs w:val="20"/>
              </w:rPr>
              <w:t xml:space="preserve">80.000 TL ödeme yapıldı</w:t>
            </w:r>
          </w:p>
        </w:tc>
        <w:tc>
          <w:tcPr>
            <w:tcW w:w="3400" w:type="dxa"/>
            <w:shd w:fill="FFFFFF"/>
          </w:tcPr>
          <w:p>
            <w:pPr>
              <w:spacing w:after="30"/>
            </w:pPr>
            <w:r>
              <w:rPr>
                <w:sz w:val="20"/>
                <w:szCs w:val="20"/>
              </w:rPr>
              <w:t xml:space="preserve">Banka dekontu + hasar ödeme yazısı</w:t>
            </w:r>
          </w:p>
        </w:tc>
      </w:tr>
      <w:tr>
        <w:tc>
          <w:tcPr>
            <w:tcW w:w="3400" w:type="dxa"/>
            <w:shd w:fill="FFFFFF"/>
          </w:tcPr>
          <w:p>
            <w:pPr>
              <w:spacing w:after="30"/>
            </w:pPr>
            <w:r>
              <w:rPr>
                <w:sz w:val="20"/>
                <w:szCs w:val="20"/>
              </w:rPr>
              <w:t xml:space="preserve">Ön başvuru yapıldı</w:t>
            </w:r>
          </w:p>
        </w:tc>
        <w:tc>
          <w:tcPr>
            <w:tcW w:w="3400" w:type="dxa"/>
            <w:shd w:fill="FFFFFF"/>
          </w:tcPr>
          <w:p>
            <w:pPr>
              <w:spacing w:after="30"/>
            </w:pPr>
            <w:r>
              <w:rPr>
                <w:sz w:val="20"/>
                <w:szCs w:val="20"/>
              </w:rPr>
              <w:t xml:space="preserve">10.07.2026 başvuru + 11.07.2026 tebliğ belgesi</w:t>
            </w:r>
          </w:p>
        </w:tc>
      </w:tr>
      <w:tr>
        <w:tc>
          <w:tcPr>
            <w:tcW w:w="3400" w:type="dxa"/>
            <w:shd w:fill="FFFFFF"/>
          </w:tcPr>
          <w:p>
            <w:pPr>
              <w:spacing w:after="30"/>
            </w:pPr>
            <w:r>
              <w:rPr>
                <w:sz w:val="20"/>
                <w:szCs w:val="20"/>
              </w:rPr>
              <w:t xml:space="preserve">Talep reddedildi</w:t>
            </w:r>
          </w:p>
        </w:tc>
        <w:tc>
          <w:tcPr>
            <w:tcW w:w="3400" w:type="dxa"/>
            <w:shd w:fill="FFFFFF"/>
          </w:tcPr>
          <w:p>
            <w:pPr>
              <w:spacing w:after="30"/>
            </w:pPr>
            <w:r>
              <w:rPr>
                <w:sz w:val="20"/>
                <w:szCs w:val="20"/>
              </w:rPr>
              <w:t xml:space="preserve">01.08.2026 nihai cevap yazısı</w:t>
            </w:r>
          </w:p>
        </w:tc>
      </w:tr>
    </w:tbl>
    <w:p>
      <w:pPr>
        <w:pStyle w:val="Heading1"/>
        <w:spacing w:after="100"/>
      </w:pPr>
      <w:r>
        <w:rPr>
          <w:b/>
          <w:sz w:val="24"/>
          <w:szCs w:val="24"/>
          <w:color w:val="1E3A8A"/>
        </w:rPr>
        <w:t xml:space="preserve">ALACAK HESABI</w:t>
      </w:r>
    </w:p>
    <w:tbl>
      <w:tblPr>
        <w:tblW w:w="0" w:type="auto"/>
        <w:tblBorders>
          <w:top w:val="single" w:sz="6" w:color="D9E2F3"/>
          <w:left w:val="single" w:sz="6" w:color="D9E2F3"/>
          <w:bottom w:val="single" w:sz="6" w:color="D9E2F3"/>
          <w:right w:val="single" w:sz="6" w:color="D9E2F3"/>
          <w:insideH w:val="single" w:sz="4" w:color="D9E2F3"/>
          <w:insideV w:val="single" w:sz="4" w:color="D9E2F3"/>
        </w:tblBorders>
      </w:tblPr>
      <w:tr>
        <w:tc>
          <w:tcPr>
            <w:tcW w:w="3400" w:type="dxa"/>
            <w:shd w:fill="DCE6F1"/>
          </w:tcPr>
          <w:p>
            <w:pPr>
              <w:spacing w:after="30"/>
            </w:pPr>
            <w:r>
              <w:rPr>
                <w:b/>
                <w:sz w:val="20"/>
                <w:szCs w:val="20"/>
              </w:rPr>
              <w:t xml:space="preserve">Kalem</w:t>
            </w:r>
          </w:p>
        </w:tc>
        <w:tc>
          <w:tcPr>
            <w:tcW w:w="3400" w:type="dxa"/>
            <w:shd w:fill="DCE6F1"/>
          </w:tcPr>
          <w:p>
            <w:pPr>
              <w:spacing w:after="30"/>
            </w:pPr>
            <w:r>
              <w:rPr>
                <w:b/>
                <w:sz w:val="20"/>
                <w:szCs w:val="20"/>
              </w:rPr>
              <w:t xml:space="preserve">Tutar</w:t>
            </w:r>
          </w:p>
        </w:tc>
      </w:tr>
      <w:tr>
        <w:tc>
          <w:tcPr>
            <w:tcW w:w="3400" w:type="dxa"/>
            <w:shd w:fill="FFFFFF"/>
          </w:tcPr>
          <w:p>
            <w:pPr>
              <w:spacing w:after="30"/>
            </w:pPr>
            <w:r>
              <w:rPr>
                <w:sz w:val="20"/>
                <w:szCs w:val="20"/>
              </w:rPr>
              <w:t xml:space="preserve">Belgeli onarım / hasar bedeli</w:t>
            </w:r>
          </w:p>
        </w:tc>
        <w:tc>
          <w:tcPr>
            <w:tcW w:w="3400" w:type="dxa"/>
            <w:shd w:fill="FFFFFF"/>
          </w:tcPr>
          <w:p>
            <w:pPr>
              <w:spacing w:after="30"/>
            </w:pPr>
            <w:r>
              <w:rPr>
                <w:sz w:val="20"/>
                <w:szCs w:val="20"/>
              </w:rPr>
              <w:t xml:space="preserve">210.000 TL</w:t>
            </w:r>
          </w:p>
        </w:tc>
      </w:tr>
      <w:tr>
        <w:tc>
          <w:tcPr>
            <w:tcW w:w="3400" w:type="dxa"/>
            <w:shd w:fill="FFFFFF"/>
          </w:tcPr>
          <w:p>
            <w:pPr>
              <w:spacing w:after="30"/>
            </w:pPr>
            <w:r>
              <w:rPr>
                <w:sz w:val="20"/>
                <w:szCs w:val="20"/>
              </w:rPr>
              <w:t xml:space="preserve">Sigorta şirketi ödemesi</w:t>
            </w:r>
          </w:p>
        </w:tc>
        <w:tc>
          <w:tcPr>
            <w:tcW w:w="3400" w:type="dxa"/>
            <w:shd w:fill="FFFFFF"/>
          </w:tcPr>
          <w:p>
            <w:pPr>
              <w:spacing w:after="30"/>
            </w:pPr>
            <w:r>
              <w:rPr>
                <w:sz w:val="20"/>
                <w:szCs w:val="20"/>
              </w:rPr>
              <w:t xml:space="preserve">- 80.000 TL</w:t>
            </w:r>
          </w:p>
        </w:tc>
      </w:tr>
      <w:tr>
        <w:tc>
          <w:tcPr>
            <w:tcW w:w="3400" w:type="dxa"/>
            <w:shd w:fill="FFFFFF"/>
          </w:tcPr>
          <w:p>
            <w:pPr>
              <w:spacing w:after="30"/>
            </w:pPr>
            <w:r>
              <w:rPr>
                <w:sz w:val="20"/>
                <w:szCs w:val="20"/>
              </w:rPr>
              <w:t xml:space="preserve">Bakiye tazminat talebi</w:t>
            </w:r>
          </w:p>
        </w:tc>
        <w:tc>
          <w:tcPr>
            <w:tcW w:w="3400" w:type="dxa"/>
            <w:shd w:fill="FFFFFF"/>
          </w:tcPr>
          <w:p>
            <w:pPr>
              <w:spacing w:after="30"/>
            </w:pPr>
            <w:r>
              <w:rPr>
                <w:sz w:val="20"/>
                <w:szCs w:val="20"/>
              </w:rPr>
              <w:t xml:space="preserve">130.000 TL</w:t>
            </w:r>
          </w:p>
        </w:tc>
      </w:tr>
    </w:tbl>
    <w:p>
      <w:r>
        <w:br w:type="page"/>
      </w:r>
    </w:p>
    <w:p>
      <w:pPr>
        <w:pStyle w:val="Heading1"/>
        <w:spacing w:after="100"/>
      </w:pPr>
      <w:r>
        <w:rPr>
          <w:b/>
          <w:sz w:val="24"/>
          <w:szCs w:val="24"/>
          <w:color w:val="1E3A8A"/>
        </w:rPr>
        <w:t xml:space="preserve">HUKUKİ NEDENLER</w:t>
      </w:r>
    </w:p>
    <w:p>
      <w:pPr>
        <w:spacing w:after="100"/>
      </w:pPr>
      <w:r>
        <w:rPr>
          <w:sz w:val="21"/>
          <w:szCs w:val="21"/>
        </w:rPr>
        <w:t xml:space="preserve">5684 sayılı Sigortacılık Kanunu m.30; 6102 sayılı Türk Ticaret Kanunu m.1409, m.1427 ve ilgili sigorta hükümleri; 6098 sayılı Türk Borçlar Kanunu; 3095 sayılı Kanuni Faiz ve Temerrüt Faizine İlişkin Kanun; Kara Araçları Kasko Sigortası Genel Şartları; somut poliçenin özel şartları ve ilgili mevzuat.</w:t>
      </w:r>
    </w:p>
    <w:p>
      <w:pPr>
        <w:pStyle w:val="Heading1"/>
        <w:spacing w:after="100"/>
      </w:pPr>
      <w:r>
        <w:rPr>
          <w:b/>
          <w:sz w:val="24"/>
          <w:szCs w:val="24"/>
          <w:color w:val="1E3A8A"/>
        </w:rPr>
        <w:t xml:space="preserve">DELİLLER</w:t>
      </w:r>
    </w:p>
    <w:p>
      <w:pPr>
        <w:spacing w:after="100"/>
      </w:pPr>
      <w:r>
        <w:rPr>
          <w:sz w:val="21"/>
          <w:szCs w:val="21"/>
        </w:rPr>
        <w:t xml:space="preserve">1. Kasko poliçesi ve prim ödeme kaydı
2. Kaza/kolluk kaydı ve olay fotoğrafları
3. Hasar ihbarı ve hasar dosyası açılış kaydı
4. Ekspertiz raporu
5. Yetkili servis kabul formu, parça/işçilik teklifleri ve faturalar
6. 80.000 TL ödeme dekontu
7. 10.07.2026 tarihli sigortacıya ön başvuru
8. 11.07.2026 tarihli tebliğ/teslim delili
9. 01.08.2026 tarihli nihai ret cevabı
10. Bilirkişi incelemesi ve her türlü yasal delil</w:t>
      </w:r>
    </w:p>
    <w:p>
      <w:pPr>
        <w:pStyle w:val="Heading1"/>
        <w:spacing w:after="100"/>
      </w:pPr>
      <w:r>
        <w:rPr>
          <w:b/>
          <w:sz w:val="24"/>
          <w:szCs w:val="24"/>
          <w:color w:val="1E3A8A"/>
        </w:rPr>
        <w:t xml:space="preserve">SONUÇ VE İSTEM</w:t>
      </w:r>
    </w:p>
    <w:p>
      <w:pPr>
        <w:spacing w:after="100"/>
      </w:pPr>
      <w:r>
        <w:rPr>
          <w:sz w:val="21"/>
          <w:szCs w:val="21"/>
        </w:rPr>
        <w:t xml:space="preserve">Yukarıda açıklanan nedenlerle; 130.000 TL bakiye kasko tazminatının aleyhine başvurulan sigorta şirketinden tahsiline; bu tutara somut dosyada belirlenecek temerrüt tarihinden itibaren 3095 sayılı Kanun uyarınca yasal faiz yürütülmesine; hasar dosyası ile tam ekspertiz raporunun getirtilmesine; gerekli görülürse otomotiv/makine alanında bilirkişi incelemesi yaptırılmasına; başvuru ve yargılama giderlerinin karşı tarafa yükletilmesine karar verilmesini saygıyla arz ve talep ederim. 16.09.2026</w:t>
      </w:r>
    </w:p>
    <w:p>
      <w:pPr>
        <w:jc w:val="right"/>
        <w:spacing w:after="100"/>
      </w:pPr>
      <w:r>
        <w:rPr>
          <w:b/>
          <w:sz w:val="21"/>
          <w:szCs w:val="21"/>
        </w:rPr>
        <w:t xml:space="preserve">Başvuru Sahibi
Mehmet KAYA
İmza</w:t>
      </w:r>
    </w:p>
    <w:p>
      <w:pPr>
        <w:pStyle w:val="Heading1"/>
        <w:spacing w:after="100"/>
      </w:pPr>
      <w:r>
        <w:rPr>
          <w:b/>
          <w:sz w:val="24"/>
          <w:szCs w:val="24"/>
          <w:color w:val="1E3A8A"/>
        </w:rPr>
        <w:t xml:space="preserve">EKLER</w:t>
      </w:r>
    </w:p>
    <w:p>
      <w:pPr>
        <w:spacing w:after="100"/>
      </w:pPr>
      <w:r>
        <w:rPr>
          <w:sz w:val="20"/>
          <w:szCs w:val="20"/>
        </w:rPr>
        <w:t xml:space="preserve">EK-1 Kasko poliçesi • EK-2 Kaza/kolluk kaydı • EK-3 Fotoğraflar • EK-4 Eksper raporu • EK-5 Servis evrakı • EK-6 Ödeme dekontu • EK-7 Ön başvuru • EK-8 Tebliğ belgesi • EK-9 Nihai cevap • EK-10 Diğer teknik belgeler</w:t>
      </w:r>
    </w:p>
    <w:p>
      <w:r>
        <w:br w:type="page"/>
      </w:r>
    </w:p>
    <w:p>
      <w:pPr>
        <w:jc w:val="center"/>
        <w:spacing w:after="100"/>
      </w:pPr>
      <w:r>
        <w:rPr>
          <w:b/>
          <w:sz w:val="26"/>
          <w:szCs w:val="26"/>
          <w:color w:val="B91C1C"/>
        </w:rPr>
        <w:t xml:space="preserve">DOSYAYA UYARLAMA REHBERİ — KOMİSYONA SUNULMAZ</w:t>
      </w:r>
    </w:p>
    <w:p>
      <w:pPr>
        <w:jc w:val="center"/>
        <w:spacing w:after="100"/>
      </w:pPr>
      <w:r>
        <w:rPr>
          <w:i/>
          <w:sz w:val="20"/>
          <w:szCs w:val="20"/>
        </w:rPr>
        <w:t xml:space="preserve">Bu bölüm kullanıcıya çalışma notudur; tahkim başvurusuna eklenmez.</w:t>
      </w:r>
    </w:p>
    <w:p>
      <w:pPr>
        <w:pStyle w:val="Heading2"/>
        <w:spacing w:after="100"/>
      </w:pPr>
      <w:r>
        <w:rPr>
          <w:b/>
          <w:sz w:val="22"/>
          <w:szCs w:val="22"/>
        </w:rPr>
        <w:t xml:space="preserve">1. Ön başvuru koşulunu dosyadan doğrula</w:t>
      </w:r>
    </w:p>
    <w:p>
      <w:pPr>
        <w:spacing w:after="100"/>
      </w:pPr>
      <w:r>
        <w:rPr>
          <w:sz w:val="21"/>
          <w:szCs w:val="21"/>
        </w:rPr>
        <w:t xml:space="preserve">Sigorta şirketine yapılan müracaatın metnini ve şirkete ulaştığı tarihi gösteren KEP, evrak kayıt, iadeli taahhütlü posta veya teslim kaydını dosyaya koy. Nihai cevap varsa ayrıca ekle. Cevap yoksa başvuru tarihine göre trafik sigortasında 15 gün, diğer sigorta branşlarında 15 iş günü bekleme koşulunu güncel resmî kaynaktan kontrol et.</w:t>
      </w:r>
    </w:p>
    <w:p>
      <w:pPr>
        <w:pStyle w:val="Heading2"/>
        <w:spacing w:after="100"/>
      </w:pPr>
      <w:r>
        <w:rPr>
          <w:b/>
          <w:sz w:val="22"/>
          <w:szCs w:val="22"/>
        </w:rPr>
        <w:t xml:space="preserve">2. Poliçe ve riziko tarihini kontrol et</w:t>
      </w:r>
    </w:p>
    <w:p>
      <w:pPr>
        <w:spacing w:after="100"/>
      </w:pPr>
      <w:r>
        <w:rPr>
          <w:sz w:val="21"/>
          <w:szCs w:val="21"/>
        </w:rPr>
        <w:t xml:space="preserve">Poliçe başlangıç/bitiş tarihlerini, teminat limitlerini, muafiyetleri, ek teminatları ve özel şartları dilekçedeki olay tarihiyle karşılaştır. Kasko gibi ihtiyari sigortalarda sigorta şirketinin Sigorta Tahkim Sistemine üyeliğini ayrıca kontrol et.</w:t>
      </w:r>
    </w:p>
    <w:p>
      <w:pPr>
        <w:pStyle w:val="Heading2"/>
        <w:spacing w:after="100"/>
      </w:pPr>
      <w:r>
        <w:rPr>
          <w:b/>
          <w:sz w:val="22"/>
          <w:szCs w:val="22"/>
        </w:rPr>
        <w:t xml:space="preserve">3. Talep tutarını belgeye bağla</w:t>
      </w:r>
    </w:p>
    <w:p>
      <w:pPr>
        <w:spacing w:after="100"/>
      </w:pPr>
      <w:r>
        <w:rPr>
          <w:sz w:val="21"/>
          <w:szCs w:val="21"/>
        </w:rPr>
        <w:t xml:space="preserve">Toplam zarardan sigortacının yaptığı ödemeyi düş. Her parça ve işçilik kalemi için servis/fatura/eksper dayanağını göster. Poliçe limiti, muafiyet veya eksik sigorta tartışması varsa ayrı hesap satırı oluştur.</w:t>
      </w:r>
    </w:p>
    <w:p>
      <w:pPr>
        <w:pStyle w:val="Heading2"/>
        <w:spacing w:after="100"/>
      </w:pPr>
      <w:r>
        <w:rPr>
          <w:b/>
          <w:sz w:val="22"/>
          <w:szCs w:val="22"/>
        </w:rPr>
        <w:t xml:space="preserve">4. Temerrüt ve faiz talebini dosyaya göre kur</w:t>
      </w:r>
    </w:p>
    <w:p>
      <w:pPr>
        <w:spacing w:after="100"/>
      </w:pPr>
      <w:r>
        <w:rPr>
          <w:sz w:val="21"/>
          <w:szCs w:val="21"/>
        </w:rPr>
        <w:t xml:space="preserve">Örnek dilekçedeki tarihleri kopyalama. İhbar, gerekli belgelerin teslimi, nihai cevap ve ödeme tarihlerini gerçek dosyadan yaz. Faiz türü ve başlangıç tarihini tarafların sıfatı ve uyuşmazlığın hukuki niteliğine göre belirle.</w:t>
      </w:r>
    </w:p>
    <w:p>
      <w:pPr>
        <w:pStyle w:val="Heading2"/>
        <w:spacing w:after="100"/>
      </w:pPr>
      <w:r>
        <w:rPr>
          <w:b/>
          <w:sz w:val="22"/>
          <w:szCs w:val="22"/>
        </w:rPr>
        <w:t xml:space="preserve">5. Bilirkişi talebini teknik sorulara dönüştür</w:t>
      </w:r>
    </w:p>
    <w:p>
      <w:pPr>
        <w:spacing w:after="100"/>
      </w:pPr>
      <w:r>
        <w:rPr>
          <w:sz w:val="21"/>
          <w:szCs w:val="21"/>
        </w:rPr>
        <w:t xml:space="preserve">“Bilirkişi incelemesi yapılsın” demek yerine; hangi parçaların kazayla illiyetli olduğu, onarımın zorunlu olup olmadığı, piyasa rayiçleri ve sigortacının kesinti hesabının poliçeye uygunluğu gibi cevaplanabilir sorular oluştur.</w:t>
      </w:r>
    </w:p>
    <w:p>
      <w:r>
        <w:br w:type="page"/>
      </w:r>
    </w:p>
    <w:p>
      <w:pPr>
        <w:jc w:val="center"/>
        <w:spacing w:after="100"/>
      </w:pPr>
      <w:r>
        <w:rPr>
          <w:b/>
          <w:sz w:val="26"/>
          <w:szCs w:val="26"/>
          <w:color w:val="1E3A8A"/>
        </w:rPr>
        <w:t xml:space="preserve">KONTROL LİSTESİ — KOMİSYONA SUNULMAZ</w:t>
      </w:r>
    </w:p>
    <w:p>
      <w:pPr>
        <w:spacing w:after="100"/>
      </w:pPr>
      <w:r>
        <w:rPr>
          <w:sz w:val="21"/>
          <w:szCs w:val="21"/>
        </w:rPr>
        <w:t xml:space="preserve">☐ Sigorta şirketine yazılı ön başvuru ve teslim delili var.
☐ Nihai cevap veya sürenin dolduğunu gösteren kayıt var.
☐ Poliçe, riziko tarihinde yürürlükte.
☐ Tahkim üyeliği gerekiyorsa üyelik kontrol edildi.
☐ Talep miktarı hesap cetveliyle somut.
☐ Hasar kalemleri delillerle eşleştirildi.
☐ Faiz türü ve başlangıç tarihi gerçek dosyaya göre belirlendi.
☐ Her ek numaralandırıldı ve dilekçede atıf yapıldı.
☐ Başvuru tarihinde güncel ücret tarifesi kontrol edildi.
☐ Örnek kişi/tarih/tutar bilgilerinin tamamı gerçek dosya bilgileriyle değiştirildi.</w:t>
      </w:r>
    </w:p>
    <w:p>
      <w:pPr>
        <w:pStyle w:val="Heading1"/>
        <w:spacing w:after="100"/>
      </w:pPr>
      <w:r>
        <w:rPr>
          <w:b/>
          <w:sz w:val="24"/>
          <w:szCs w:val="24"/>
          <w:color w:val="1E3A8A"/>
        </w:rPr>
        <w:t xml:space="preserve">RESMÎ KAYNAKLAR</w:t>
      </w:r>
    </w:p>
    <w:p>
      <w:pPr>
        <w:spacing w:after="100"/>
      </w:pPr>
      <w:r>
        <w:rPr>
          <w:sz w:val="19"/>
          <w:szCs w:val="19"/>
        </w:rPr>
        <w:t xml:space="preserve">• Sigorta Tahkim Komisyonu — Başvuru Nasıl Yapılır: https://www.sigortatahkim.org/sayfa/basvuru-nasil-yapilir
• Sigorta Tahkim Komisyonu — İstenecek Belgeler: https://www.sigortatahkim.org/sayfa/basvuru-istenilecek-belgeler
• 5684 sayılı Sigortacılık Kanunu: https://www.mevzuat.gov.tr/mevzuatmetin/1.5.5684.pdf
• 6102 sayılı Türk Ticaret Kanunu: https://www.mevzuat.gov.tr/mevzuatmetin/1.5.6102.pdf</w:t>
      </w:r>
    </w:p>
    <w:p>
      <w:pPr>
        <w:jc w:val="center"/>
        <w:spacing w:after="30"/>
      </w:pPr>
      <w:r>
        <w:rPr>
          <w:b/>
          <w:sz w:val="18"/>
          <w:szCs w:val="18"/>
          <w:color w:val="1E3A8A"/>
        </w:rPr>
        <w:t xml:space="preserve">Hazırlayan: Av. Halil Bakırcı — Mersin Barosu Sicil No: 3472</w:t>
      </w:r>
    </w:p>
    <w:p>
      <w:pPr>
        <w:jc w:val="center"/>
        <w:spacing w:after="30"/>
      </w:pPr>
      <w:r>
        <w:rPr>
          <w:sz w:val="18"/>
          <w:szCs w:val="18"/>
        </w:rPr>
        <w:t xml:space="preserve">Güncelleme tarihi: 16 Eylül 2026</w:t>
      </w:r>
    </w:p>
    <w:sectPr>
      <w:pgSz w:w="11906" w:h="16838"/>
      <w:pgMar w:top="1134" w:right="1134" w:bottom="1134" w:left="1134" w:header="720" w:footer="720"/>
      <w:footerReference w:type="default" r:id="rId1"/>
    </w:sectPr>
  </w:body>
</w:document>
</file>

<file path=word/footer1.xml><?xml version="1.0" encoding="utf-8"?>
<w:ftr xmlns:w="http://schemas.openxmlformats.org/wordprocessingml/2006/main">
  <w:p>
    <w:pPr>
      <w:jc w:val="center"/>
    </w:pPr>
    <w:r>
      <w:rPr>
        <w:sz w:val="16"/>
        <w:szCs w:val="16"/>
        <w:color w:val="666666"/>
      </w:rPr>
      <w:t xml:space="preserve">Bakırçı &amp; Keskin Hukuk Bürosu  •  Sayfa </w:t>
    </w:r>
    <w:fldSimple w:instr="PAGE">
      <w:r>
        <w:rPr>
          <w:sz w:val="16"/>
          <w:color w:val="666666"/>
        </w:rPr>
        <w:t>1</w:t>
      </w:r>
    </w:fldSimple>
  </w:p>
</w:ftr>
</file>

<file path=word/styles.xml><?xml version="1.0" encoding="utf-8"?>
<w:styles xmlns:w="http://schemas.openxmlformats.org/wordprocessingml/2006/main">
  <w:docDefaults>
    <w:rPrDefault>
      <w:rPr>
        <w:rFonts w:ascii="Aptos" w:hAnsi="Aptos"/>
        <w:sz w:val="22"/>
      </w:rPr>
    </w:rPrDefault>
    <w:pPrDefault>
      <w:pPr>
        <w:spacing w:after="100" w:line="300" w:lineRule="auto"/>
      </w:pPr>
    </w:pPrDefault>
  </w:docDefaults>
  <w:style w:type="paragraph" w:default="1" w:styleId="Normal">
    <w:name w:val="Normal"/>
  </w:style>
  <w:style w:type="paragraph" w:styleId="Heading1">
    <w:name w:val="heading 1"/>
    <w:basedOn w:val="Normal"/>
    <w:next w:val="Normal"/>
    <w:qFormat/>
    <w:pPr>
      <w:keepNext/>
      <w:spacing w:before="220" w:after="100"/>
    </w:pPr>
    <w:rPr>
      <w:b/>
      <w:color w:val="1E3A8A"/>
      <w:sz w:val="26"/>
    </w:rPr>
  </w:style>
  <w:style w:type="paragraph" w:styleId="Heading2">
    <w:name w:val="heading 2"/>
    <w:basedOn w:val="Normal"/>
    <w:next w:val="Normal"/>
    <w:qFormat/>
    <w:pPr>
      <w:keepNext/>
      <w:spacing w:before="160" w:after="80"/>
    </w:pPr>
    <w:rPr>
      <w:b/>
      <w:color w:val="1E3A8A"/>
      <w:sz w:val="22"/>
    </w:rPr>
  </w:style>
</w:styles>
</file>

<file path=word/_rels/document.xml.rels><?xml version="1.0" encoding="UTF-8" standalone="yes"?><Relationships xmlns="http://schemas.openxmlformats.org/package/2006/relationships"><Relationship Id="rId1" Type="http://schemas.openxmlformats.org/officeDocument/2006/relationships/footer" Target="footer1.xml"/><Relationship Id="rId2" Type="http://schemas.openxmlformats.org/officeDocument/2006/relationships/styles" Target="styles.xml"/></Relationships>
</file>