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SİPARİŞ ÜZERİNE YAYIMDA KARARLAŞTIRILMIŞ ÜCRET TALEBİ</w:t>
      </w:r>
    </w:p>
    <w:p>
      <w:pPr>
        <w:widowControl/>
      </w:pPr>
      <w:r>
        <w:t>Talep eden: [Ad soyad/unvan, adres ve sıfat]</w:t>
        <w:br/>
        <w:t>Muhatap yayımcı: [Gerçek unvan, adres]</w:t>
        <w:br/>
        <w:t>Konu: TBK m.501 kapsamında [belirli eser/iş] için kararlaştırılmış muaccel ücretin ödenmemiş kısmının karşılanması.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[Yazılı sözleşme tarihi ve ilgili plan] uyarınca yayımcı tarafından belirlenen plana göre [gerçek iş/bölüm] meydana getirmeyi üstlendim. Sözleşme, plan ve görev kapsamı Ek 1'dedir.</w:t>
      </w:r>
    </w:p>
    <w:p>
      <w:pPr>
        <w:widowControl/>
      </w:pPr>
      <w:r>
        <w:t>2. Talebe ilişkin kendi ifam veya ifa önerim [gerçek teslim, dosya sürümü ve ilgili kayıt] ile gösterilmiştir. TBK m.97 bakımından sözleşmedeki ifa sırası [gerçek hüküm ve açıklama]dır. İlgili belgeler Ek 2'dedir.</w:t>
      </w:r>
    </w:p>
    <w:p>
      <w:pPr>
        <w:widowControl/>
      </w:pPr>
      <w:r>
        <w:t>3. Sözleşmeyle kararlaştırılmış ilgili ücret [gerçek hüküm, tutar/hesap yöntemi]dir. Talep edilen kısmın ödeme zamanı dayanağı [gerçek sözleşme/ilişki ve kayıt]dır. Bu işe ait önceki ödemeler [gerçek tarih ve tutarlar] olup kalan muaccel tutar [belgeli hesap]dır. Hesap ve kaynaklar Ek 3'tedir.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TBK m.501 ve yukarıdaki sözleşme kaydı uyarınca kararlaştırılmış ücretin belirtilen muaccel ve ödenmemiş kısmını [gerçek ödeme bilgisi] üzerinden karşılamanızı; farklı ödeme veya hesap kaydınız varsa ilgili iş ve belgeyle açıklamanızı talep ederim. Talep yalnız gösterilen sözleşme ücreti içindir; sözleşmede bulunmayan satış yüzdesi, yapılmamış iş veya belgesiz ceza eklenmemiştir.</w:t>
      </w:r>
    </w:p>
    <w:p>
      <w:pPr>
        <w:widowControl/>
      </w:pPr>
      <w:r>
        <w:t>Ekler: 1. Sözleşme, plan ve görev. 2. İfa sırası ve teslim kayıtları. 3. Ücret, ödeme zamanı ve bakiye hesabı. 4. Önceki ilgili yazışmalar. 5. Temsil belgesi [gerçekte varsa].</w:t>
        <w:br/>
        <w:t>Tarih: [Gerçek tarih]</w:t>
        <w:br/>
        <w:t>Talep eden: [Ad soyad/unvan ve yetkili imza]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Plan, teslim ve ücret kontrolü</w:t>
      </w:r>
    </w:p>
    <w:p>
      <w:pPr>
        <w:widowControl/>
      </w:pPr>
      <w:r>
        <w:t>Yayımcının planına göre üstlenilen iş, gerçek teslim ve kararlaştırılmış ücretle eşleştirilir. Önceki ödemeler bakiye hesabında ayrı gösterilir.</w:t>
      </w:r>
    </w:p>
    <w:p>
      <w:pPr>
        <w:pStyle w:val="Heading1"/>
        <w:widowControl/>
      </w:pPr>
      <w:r>
        <w:t>Ek A Plan ve ifa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Tarih / ek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Kapsam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Sözleşme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[Eser / ücret hükmü]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[İmzalı metin]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[Talep eden]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Plan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[Yayımcı / sürüm]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[Üstlenilen iş]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İfa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[Teslim / öneri]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kayıt]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[M.97 ifa sırası]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Ücret ve ödeme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kaynak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Tutar / 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Ayrı 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Ücret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[Kararlaştırılan hüküm]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[İlgili iş]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Muacceliyet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[Ödeme zamanı]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dayanak]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[Gelecek taksit ayrı]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Ödeme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[Dekont / açıklama]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[Aynı iş]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Bakiye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[Belgeli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[Muaccel kalan]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[Mükerrer tutar yok]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Kanuni koşul</w:t>
      </w:r>
    </w:p>
    <w:p>
      <w:pPr>
        <w:widowControl/>
      </w:pPr>
      <w:r>
        <w:t>TBK 501 yayımcının planına göre eser meydana getirmeyi üstlenen kişi için yalnız kararlaştırılmış ücreti düzenler. Sözleşme konusu mali hakların yayımcıya ait olması ücret borcunu silmez.</w:t>
      </w:r>
    </w:p>
    <w:p>
      <w:pPr>
        <w:pStyle w:val="Heading1"/>
        <w:widowControl/>
      </w:pPr>
      <w:r>
        <w:t>İfa ve ödeme zamanı</w:t>
      </w:r>
    </w:p>
    <w:p>
      <w:pPr>
        <w:widowControl/>
      </w:pPr>
      <w:r>
        <w:t>M.97 kapsamında kendi ifası veya ifa önerisi ve sonraki ifa hakkı kontrol edilir. M.90 sözleşme ve ilişki özelliğiyle okunur. Sözleşmede olmayan satış payı ve kanunda olmayan sabit gün yazılmaz.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m.501; ilgili m.90, 97 ve 488. Kararlaştırılmış ücretin muaccel ve ödenmemiş kısmı.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Sipariş üzerine yayım sözleşmesinde ücret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