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T.C. [YER] [MAHKEME ADI] MAHKEMESİNE</w:t>
      </w:r>
    </w:p>
    <w:p>
      <w:r>
        <w:rPr>
          <w:b/>
        </w:rPr>
        <w:t>ESAS NO</w:t>
      </w:r>
      <w:r>
        <w:t xml:space="preserve"> : [20../... E.]</w:t>
      </w:r>
    </w:p>
    <w:p>
      <w:r>
        <w:rPr>
          <w:b/>
        </w:rPr>
        <w:t>TALEPTE BULUNAN</w:t>
      </w:r>
      <w:r>
        <w:t xml:space="preserve"> : [Davacı / Davalı adı, soyadı veya unvanı ve adresi]</w:t>
      </w:r>
    </w:p>
    <w:p>
      <w:r>
        <w:rPr>
          <w:b/>
        </w:rPr>
        <w:t>VEKİLİ</w:t>
      </w:r>
      <w:r>
        <w:t xml:space="preserve"> : Av. Halil BAKIRCI, Mersin Barosu Sicil No 3472</w:t>
      </w:r>
    </w:p>
    <w:p>
      <w:r>
        <w:rPr>
          <w:b/>
        </w:rPr>
        <w:t>KARŞI TARAF</w:t>
      </w:r>
      <w:r>
        <w:t xml:space="preserve"> : [Ad soyad veya unvan ve adres]</w:t>
      </w:r>
    </w:p>
    <w:p>
      <w:r>
        <w:rPr>
          <w:b/>
        </w:rPr>
        <w:t>KONU</w:t>
      </w:r>
      <w:r>
        <w:t xml:space="preserve"> : HMK m. 186/1 uyarınca sözlü yargılama davetiyesinin yoklukta hüküm ihtarıyla tebliği, gerekirse yeni gün belirlenmesi ve tebliğ tamamlanmadan hüküm kurulmaması talebidir.</w:t>
      </w:r>
    </w:p>
    <w:p>
      <w:pPr>
        <w:keepNext/>
      </w:pPr>
      <w:r>
        <w:rPr>
          <w:b/>
        </w:rPr>
        <w:t>DOSYANIN AŞAMASI VE TEBLİGAT KAYDI</w:t>
      </w:r>
    </w:p>
    <w:p>
      <w:r>
        <w:t>1. Mahkemeniz [tarih] tarihli duruşmada tahkikatın bittiğini tefhim etmiş ve sözlü yargılama ile hüküm için [tarih] günü saat [saat] olarak belirlemiştir. İlgili tutanak Ek-1’dedir.</w:t>
      </w:r>
    </w:p>
    <w:p>
      <w:r>
        <w:t>2. Tarafımız / vekilimiz tahkikatın bittiği celsede hazır değildir. Tutanakta sözlü yargılama gününün tarafımıza tefhim edildiğine dair bir kayıt bulunmamaktadır.</w:t>
      </w:r>
    </w:p>
    <w:p>
      <w:r>
        <w:t>3. [kontrol tarihi] itibarıyla UYAP evrak listesinde tarafımız / vekilimiz adına yeni güne ait davetiye, elektronik tebligat zarfı, teslim kaydı veya fiziki tebliğ mazbatası yoktur. UYAP ve UETS kayıtları Ek-2’dedir.</w:t>
      </w:r>
    </w:p>
    <w:p>
      <w:r>
        <w:t>4. Sözlü yargılama günü UYAP takviminde görünmekle birlikte, HMK m. 186/1’de aranan davet ve yoklukta hüküm ihtarının yapıldığına ilişkin belge dosyada bulunmamaktadır.</w:t>
      </w:r>
    </w:p>
    <w:p>
      <w:pPr>
        <w:keepNext/>
      </w:pPr>
      <w:r>
        <w:rPr>
          <w:b/>
        </w:rPr>
        <w:t>HMK 186 KAPSAMINDA DAVET VE İHTAR</w:t>
      </w:r>
    </w:p>
    <w:p>
      <w:r>
        <w:t>1. HMK m. 186/1 uyarınca tahkikatın bitiminden sonra sözlü yargılama ve hüküm için tayin edilen gün ve saatte mahkemede hazır bulunmalarını sağlamak amacıyla iki taraf davet edilir.</w:t>
      </w:r>
    </w:p>
    <w:p>
      <w:r>
        <w:t>2. Aynı hükme göre davetiyede, belirlenen gün ve saatte hazır bulunulmadığı takdirde yoklukta hüküm verileceği bildirilmelidir. Dosyada tarafımıza yöneltilmiş bu içerikte bir davetiye bulunmamaktadır.</w:t>
      </w:r>
    </w:p>
    <w:p>
      <w:r>
        <w:t>3. UYAP’ta duruşma tarihinin görülmesi, kanunun öngördüğü davetiye ve ihtar işleminin yerine geçtiğini göstermez. Elektronik tebligata tabi vekil yönünden gönderi, teslim ve kanuni tebliğ tarihi UETS kaydıyla belirlenmelidir.</w:t>
      </w:r>
    </w:p>
    <w:p>
      <w:r>
        <w:t>4. HMK m. 186/2 gereğince sözlü yargılama celsesinde taraflara son sözleri sorulur ve ardından hüküm verilir. Usulüne uygun davet, tarafın bu hakkı etkili biçimde kullanabilmesi için gereklidir.</w:t>
      </w:r>
    </w:p>
    <w:p>
      <w:pPr>
        <w:keepNext/>
      </w:pPr>
      <w:r>
        <w:rPr>
          <w:b/>
        </w:rPr>
        <w:t>TEBLİGATIN TAMAMLANMASI VE YENİ GÜN İHTİYACI</w:t>
      </w:r>
    </w:p>
    <w:p>
      <w:r>
        <w:t>1. Mevcut sözlü yargılama gününe kadar HMK m. 186/1 içeriğinde usulüne uygun tebligatın tamamlanması mümkünse davetiyenin derhâl çıkarılmasını talep ediyoruz.</w:t>
      </w:r>
    </w:p>
    <w:p>
      <w:r>
        <w:t>2. Kanuni tebliğ tarihinin mevcut günden sonraya kalacak olması hâlinde, sözlü yargılama için yeni gün ve saat belirlenmeli; yeni gün taraflara yoklukta hüküm ihtarıyla tebliğ edilmelidir.</w:t>
      </w:r>
    </w:p>
    <w:p>
      <w:r>
        <w:t>3. Tebligat tamamlanmadan tarafımızın yokluğunda hüküm kurulması, HMK m. 27’deki bilgi sahibi olma ve açıklama hakkı ile HMK m. 186’daki sözlü yargılama işleminin kullanılmasını engeller.</w:t>
      </w:r>
    </w:p>
    <w:p>
      <w:pPr>
        <w:keepNext/>
      </w:pPr>
      <w:r>
        <w:rPr>
          <w:b/>
        </w:rPr>
        <w:t>HUKUKİ SEBEPLER</w:t>
      </w:r>
    </w:p>
    <w:p>
      <w:r>
        <w:t>6100 sayılı Hukuk Muhakemeleri Kanunu m. 27, 30, 32, 184 ve 186; 7201 sayılı Tebligat Kanunu m. 7/a ve 32; Elektronik Tebligat Yönetmeliği ve ilgili diğer mevzuat.</w:t>
      </w:r>
    </w:p>
    <w:p>
      <w:pPr>
        <w:keepNext/>
      </w:pPr>
      <w:r>
        <w:rPr>
          <w:b/>
        </w:rPr>
        <w:t>DELİLLER</w:t>
      </w:r>
    </w:p>
    <w:p>
      <w:r>
        <w:t>Tahkikatın bittiği duruşma tutanağı; sözlü yargılama gününü gösteren UYAP kaydı; UYAP evrak listesi; UETS gönderi ve teslim kayıtları; fiziki tebligat mazbatası sorgusu; vekâletname ve vekil kayıtları; ilgili diğer yasal deliller.</w:t>
      </w:r>
    </w:p>
    <w:p>
      <w:pPr>
        <w:keepNext/>
      </w:pPr>
      <w:r>
        <w:rPr>
          <w:b/>
        </w:rPr>
        <w:t>SONUÇ VE İSTEM</w:t>
      </w:r>
    </w:p>
    <w:p>
      <w:pPr>
        <w:keepLines/>
      </w:pPr>
      <w:r>
        <w:t>Açıklanan nedenlerle; (1) tarafımız / vekilimiz adına HMK m. 186/1 uyarınca [tarih] günü saat [saat]te yapılacak sözlü yargılama ve hüküm celsesi için davetiye çıkarılmasına, (2) davetiyede belirlenen gün ve saatte hazır bulunulmadığı takdirde yoklukta hüküm verileceği ihtarının gösterilmesine, (3) tebligatın mevcut güne kadar kanunen tamamlanamayacak olması hâlinde yeni sözlü yargılama günü ve saati belirlenerek yeni günün usulüne uygun tebliğine, (4) usulüne uygun davet işlemi tamamlanmadan tarafımızın yokluğunda hüküm kurulmamasına, (5) sözlü yargılama celsesinde HMK m. 186/2 uyarınca son söz hakkımızın kullandırılmasına karar verilmesini saygıyla arz ve talep ederiz. 30/09/2026</w:t>
      </w:r>
    </w:p>
    <w:p>
      <w:pPr>
        <w:spacing w:after="140"/>
        <w:jc w:val="right"/>
      </w:pPr>
      <w:r>
        <w:t>Talepte Bulunan Vekili</w:t>
        <w:br/>
        <w:t>Av. Halil BAKIRCI</w:t>
        <w:br/>
        <w:t>Mersin Barosu Sicil No 3472</w:t>
        <w:br/>
        <w:t>(E-İMZALIDIR)</w:t>
      </w:r>
    </w:p>
    <w:p>
      <w:pPr>
        <w:keepNext/>
      </w:pPr>
      <w:r>
        <w:rPr>
          <w:b/>
        </w:rPr>
        <w:t>EKLER</w:t>
      </w:r>
    </w:p>
    <w:p>
      <w:pPr>
        <w:pStyle w:val="ListBullet"/>
      </w:pPr>
      <w:r>
        <w:t>Ek-1: Tahkikatın bittiği ve sözlü yargılama gününün belirlendiği tutanak</w:t>
      </w:r>
    </w:p>
    <w:p>
      <w:pPr>
        <w:pStyle w:val="ListBullet"/>
      </w:pPr>
      <w:r>
        <w:t>Ek-2: UYAP evrak listesi ve UETS gönderi durumu</w:t>
      </w:r>
    </w:p>
    <w:p>
      <w:pPr>
        <w:pStyle w:val="ListBullet"/>
      </w:pPr>
      <w:r>
        <w:t>Ek-3: Sözlü yargılama gününü gösteren UYAP kaydı</w:t>
      </w:r>
    </w:p>
    <w:p>
      <w:pPr>
        <w:pStyle w:val="ListBullet"/>
      </w:pPr>
      <w:r>
        <w:t>Ek-4: Vekâletname ve dosyadaki güncel vekil kaydı</w:t>
      </w:r>
    </w:p>
    <w:p>
      <w:pPr>
        <w:pStyle w:val="ListBullet"/>
      </w:pPr>
      <w:r>
        <w:t>Ek-5: Varsa fiziki tebligat sorgu veya iade kaydı</w:t>
      </w:r>
    </w:p>
    <w:p>
      <w:pPr>
        <w:keepNext/>
      </w:pPr>
      <w:r>
        <w:rPr>
          <w:b/>
        </w:rPr>
        <w:t>DOLDURMA KONTROLÜ SUNULACAK NÜSHADAN ÇIKARIN</w:t>
      </w:r>
    </w:p>
    <w:p>
      <w:pPr>
        <w:pStyle w:val="ListBullet"/>
      </w:pPr>
      <w:r>
        <w:rPr>
          <w:i/>
        </w:rPr>
        <w:t>Son duruşmada taraf veya vekilin hazır olup olmadığını tutanaktan doğrulayın.</w:t>
      </w:r>
    </w:p>
    <w:p>
      <w:pPr>
        <w:pStyle w:val="ListBullet"/>
      </w:pPr>
      <w:r>
        <w:rPr>
          <w:i/>
        </w:rPr>
        <w:t>Sözlü yargılama gününün tefhim edilip edilmediğini ayrı olarak kontrol edin.</w:t>
      </w:r>
    </w:p>
    <w:p>
      <w:pPr>
        <w:pStyle w:val="ListBullet"/>
      </w:pPr>
      <w:r>
        <w:rPr>
          <w:i/>
        </w:rPr>
        <w:t>Dosyada davetiye, UETS zarfı veya fiziki mazbata bulunup bulunmadığını yeniden okuyun.</w:t>
      </w:r>
    </w:p>
    <w:p>
      <w:pPr>
        <w:pStyle w:val="ListBullet"/>
      </w:pPr>
      <w:r>
        <w:rPr>
          <w:i/>
        </w:rPr>
        <w:t>Mevcut güne kadar kanuni tebliğin tamamlanıp tamamlanamayacağını hesaplayın.</w:t>
      </w:r>
    </w:p>
    <w:p>
      <w:pPr>
        <w:pStyle w:val="ListBullet"/>
      </w:pPr>
      <w:r>
        <w:rPr>
          <w:i/>
        </w:rPr>
        <w:t>Nihai hüküm kurulmuşsa bu örneği kullanmayın; kanun yolu değerlendirmesi yapın.</w:t>
      </w:r>
    </w:p>
    <w:p>
      <w:pPr>
        <w:pStyle w:val="ListBullet"/>
      </w:pPr>
      <w:r>
        <w:rPr>
          <w:i/>
        </w:rPr>
        <w:t>Köşeli alanları, kullanılmayan seçenekleri ve bu kontrol bölümünü nihai nüshadan çıkarın.</w:t>
      </w:r>
    </w:p>
    <w:sectPr w:rsidR="00FC693F" w:rsidRPr="0006063C" w:rsidSect="00034616">
      <w:pgSz w:w="12240" w:h="15840"/>
      <w:pgMar w:top="792" w:right="1080" w:bottom="74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30"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