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rPr>
          <w:rFonts w:ascii="Aptos" w:hAnsi="Aptos"/>
          <w:b/>
          <w:color w:val="000000"/>
          <w:sz w:val="28"/>
        </w:rPr>
        <w:t>GÖREVLİ HUKUK MAHKEMESİNE</w:t>
      </w:r>
    </w:p>
    <w:p>
      <w:r>
        <w:rPr>
          <w:b/>
        </w:rPr>
        <w:t>ESAS NO</w:t>
      </w:r>
      <w:r>
        <w:t xml:space="preserve"> : [20../... E.]</w:t>
      </w:r>
    </w:p>
    <w:p>
      <w:r>
        <w:rPr>
          <w:b/>
        </w:rPr>
        <w:t>DAVACI</w:t>
      </w:r>
      <w:r>
        <w:t xml:space="preserve"> : [Ad soyad veya unvan, T.C. kimlik no ve adres]</w:t>
      </w:r>
    </w:p>
    <w:p>
      <w:r>
        <w:rPr>
          <w:b/>
        </w:rPr>
        <w:t>VEKİLİ</w:t>
      </w:r>
      <w:r>
        <w:t xml:space="preserve"> : Av. Halil BAKIRCI, Mersin Barosu Sicil No 3472</w:t>
      </w:r>
    </w:p>
    <w:p>
      <w:r>
        <w:rPr>
          <w:b/>
        </w:rPr>
        <w:t>DAVALI</w:t>
      </w:r>
      <w:r>
        <w:t xml:space="preserve"> : [Ad soyad veya unvan ve adres]</w:t>
      </w:r>
    </w:p>
    <w:p>
      <w:r>
        <w:rPr>
          <w:b/>
        </w:rPr>
        <w:t>DAVA DEĞERİ</w:t>
      </w:r>
      <w:r>
        <w:t xml:space="preserve"> : [....] TL</w:t>
      </w:r>
    </w:p>
    <w:p>
      <w:r>
        <w:rPr>
          <w:b/>
        </w:rPr>
        <w:t>KONU</w:t>
      </w:r>
      <w:r>
        <w:t xml:space="preserve"> : HMK m. 180 uyarınca süresinde sunulan tam ıslah sonrası yeni dava dilekçesidir.</w:t>
      </w:r>
    </w:p>
    <w:p>
      <w:pPr>
        <w:keepNext/>
      </w:pPr>
      <w:r>
        <w:rPr>
          <w:b/>
        </w:rPr>
        <w:t>TAM ISLAH VE SÜRE AÇIKLAMASI</w:t>
      </w:r>
    </w:p>
    <w:p>
      <w:r>
        <w:t>1. Mahkemenizin yukarıda esas numarası yazılı dosyasında [tarih] tarihli duruşmada / dilekçeyle davamızı tamamen ıslah ettiğimizi bildirdik. Bildirim [tutanak veya UYAP evrak no] ile dosyaya kaydedilmiştir.</w:t>
      </w:r>
    </w:p>
    <w:p>
      <w:r>
        <w:t>2. HMK m. 180/1 gereğince bu bildirimden itibaren bir hafta içinde yeni dava dilekçesi verilmesi zorunludur. İşbu dilekçe, kanuni süre sona ermeden [tarih] tarihinde aynı esas dosyasına sunulmaktadır.</w:t>
      </w:r>
    </w:p>
    <w:p>
      <w:r>
        <w:t>3. Vekâletnamemizde HMK m. 74 kapsamında davanın tamamını ıslah etmeye ilişkin açık özel yetki bulunmaktadır. Özel yetkili vekâletname dosyada [evrak no] ile kayıtlıdır / Ek-1’de sunulmuştur.</w:t>
      </w:r>
    </w:p>
    <w:p>
      <w:pPr>
        <w:keepNext/>
      </w:pPr>
      <w:r>
        <w:rPr>
          <w:b/>
        </w:rPr>
        <w:t>VAKIALAR</w:t>
      </w:r>
    </w:p>
    <w:p>
      <w:r>
        <w:t>1. Davacı ile davalı arasında [tarih] tarihinde [sözleşmenin adı ve konusu] sözleşmesi kurulmuştur. Davacı [edimini] [tarih] tarihinde yerine getirmiştir. Bu vakıa Ek-2 sözleşme ve Ek-3 teslim belgesiyle ispatlanacaktır.</w:t>
      </w:r>
    </w:p>
    <w:p>
      <w:r>
        <w:t>2. Davalı, [tarih] tarihli bildirimiyle sözleşmeyi [açıklanan fesih veya ihlal] gerekçesiyle sona erdirmiş / edimini ifa etmemiştir. Bildirim Ek-4’tedir.</w:t>
      </w:r>
    </w:p>
    <w:p>
      <w:r>
        <w:t>3. Davalının işlemi sözleşmenin [madde no] hükmüne aykırıdır. İhlal nedeniyle [somut zarar kalemi] doğmuş; zarar [hesap yöntemi] kullanılarak [....] TL olarak hesaplanmıştır. Hesap cetveli Ek-5’tedir.</w:t>
      </w:r>
    </w:p>
    <w:p>
      <w:r>
        <w:t>4. [Tarih] tarihli ihtarnameyle davalıdan [edim veya ödeme] talep edilmiş; ihtar [tebliğ tarihi] tarihinde tebliğ edilmiş; buna rağmen ödeme veya ifa gerçekleşmemiştir. İhtarname ve tebliğ kaydı Ek-6’dadır.</w:t>
      </w:r>
    </w:p>
    <w:p>
      <w:r>
        <w:t>5. Islah öncesi dosyada bulunan [tanık ifadesi / bilirkişi raporu / keşif tutanağı], HMK m. 179 kapsamında korunması gereken işlem olup [belirli vakıa] yönünden değerlendirilmesini talep ediyoruz. Yeni talebin [teknik konu] kısmı için ek bilirkişi incelemesi gereklidir.</w:t>
      </w:r>
    </w:p>
    <w:p>
      <w:pPr>
        <w:keepNext/>
      </w:pPr>
      <w:r>
        <w:rPr>
          <w:b/>
        </w:rPr>
        <w:t>HUKUKİ SEBEPLER</w:t>
      </w:r>
    </w:p>
    <w:p>
      <w:r>
        <w:t>6100 sayılı HMK m. 25, 26, 74, 90-94, 119, 176-180, 194, 445 ve uyuşmazlığın esasına uygulanacak [TBK/TTK/TMK/özel kanun madde numaraları].</w:t>
      </w:r>
    </w:p>
    <w:p>
      <w:pPr>
        <w:keepNext/>
      </w:pPr>
      <w:r>
        <w:rPr>
          <w:b/>
        </w:rPr>
        <w:t>DELİLLER</w:t>
      </w:r>
    </w:p>
    <w:p>
      <w:r>
        <w:t>Sözleşme; teslim ve ödeme kayıtları; ihtarname ve tebliğ belgesi; banka kayıtları; faturalar; hesap cetveli; dosyada mevcut duruşma tutanakları, tanık beyanları, bilirkişi raporları ve keşif tutanakları; gerektiğinde bilirkişi incelemesi ve ilgili diğer yasal deliller.</w:t>
      </w:r>
    </w:p>
    <w:p>
      <w:pPr>
        <w:keepNext/>
      </w:pPr>
      <w:r>
        <w:rPr>
          <w:b/>
        </w:rPr>
        <w:t>SONUÇ VE İSTEM</w:t>
      </w:r>
    </w:p>
    <w:p>
      <w:r>
        <w:t>Açıklanan nedenlerle; HMK m. 180 uyarınca kanuni bir haftalık süre içinde sunduğumuz işbu YENİ DAVA DİLEKÇESİNİN KABULÜNE; dilekçe ve eklerinin davalıya usulüne uygun tebliğine; [ana talep] nedeniyle [....] TL’nin [faiz türü] faiziyle birlikte [faiz başlangıç tarihi] tarihinden itibaren davalıdan tahsiline / [diğer açık talep sonucuna]; yargılama giderleri ve vekâlet ücretinin davalıya yükletilmesine karar verilmesini saygıyla arz ve talep ederiz. 29/09/2026</w:t>
      </w:r>
    </w:p>
    <w:p>
      <w:pPr>
        <w:spacing w:after="140"/>
        <w:jc w:val="right"/>
      </w:pPr>
      <w:r>
        <w:t>Davacı Vekili</w:t>
        <w:br/>
        <w:t>Av. Halil BAKIRCI</w:t>
        <w:br/>
        <w:t>Mersin Barosu Sicil No 3472</w:t>
        <w:br/>
        <w:t>(E-İMZALIDIR)</w:t>
      </w:r>
    </w:p>
    <w:p>
      <w:pPr>
        <w:keepNext/>
      </w:pPr>
      <w:r>
        <w:rPr>
          <w:b/>
        </w:rPr>
        <w:t>EKLER</w:t>
      </w:r>
    </w:p>
    <w:p>
      <w:pPr>
        <w:pStyle w:val="ListBullet"/>
      </w:pPr>
      <w:r>
        <w:t>Ek-1: Tam ıslah özel yetkisini içeren vekâletname</w:t>
      </w:r>
    </w:p>
    <w:p>
      <w:pPr>
        <w:pStyle w:val="ListBullet"/>
      </w:pPr>
      <w:r>
        <w:t>Ek-2: Sözleşme</w:t>
      </w:r>
    </w:p>
    <w:p>
      <w:pPr>
        <w:pStyle w:val="ListBullet"/>
      </w:pPr>
      <w:r>
        <w:t>Ek-3: Teslim veya ifa belgesi</w:t>
      </w:r>
    </w:p>
    <w:p>
      <w:pPr>
        <w:pStyle w:val="ListBullet"/>
      </w:pPr>
      <w:r>
        <w:t>Ek-4: Fesih veya ihlal bildirimi</w:t>
      </w:r>
    </w:p>
    <w:p>
      <w:pPr>
        <w:pStyle w:val="ListBullet"/>
      </w:pPr>
      <w:r>
        <w:t>Ek-5: Ayrıntılı zarar ve alacak hesap cetveli</w:t>
      </w:r>
    </w:p>
    <w:p>
      <w:pPr>
        <w:pStyle w:val="ListBullet"/>
      </w:pPr>
      <w:r>
        <w:t>Ek-6: İhtarname ve tebliğ belgesi</w:t>
      </w:r>
    </w:p>
    <w:p>
      <w:pPr>
        <w:pStyle w:val="ListBullet"/>
      </w:pPr>
      <w:r>
        <w:t>Ek-7: Harç ve HMK m. 178 teminat makbuzları [varsa]</w:t>
      </w:r>
    </w:p>
    <w:p>
      <w:pPr>
        <w:keepNext/>
      </w:pPr>
      <w:r>
        <w:rPr>
          <w:b/>
        </w:rPr>
        <w:t>DOLDURMA KONTROLÜ SUNULACAK NÜSHADAN ÇIKARIN</w:t>
      </w:r>
    </w:p>
    <w:p>
      <w:pPr>
        <w:pStyle w:val="ListBullet"/>
      </w:pPr>
      <w:r>
        <w:rPr>
          <w:i/>
        </w:rPr>
        <w:t>Tam ıslah bildirim tarihini tutanak veya UYAP kaydından doğrulayın.</w:t>
      </w:r>
    </w:p>
    <w:p>
      <w:pPr>
        <w:pStyle w:val="ListBullet"/>
      </w:pPr>
      <w:r>
        <w:rPr>
          <w:i/>
        </w:rPr>
        <w:t>Bir haftalık son günü HMK m. 92 ve 93’e göre hesaplayın.</w:t>
      </w:r>
    </w:p>
    <w:p>
      <w:pPr>
        <w:pStyle w:val="ListBullet"/>
      </w:pPr>
      <w:r>
        <w:rPr>
          <w:i/>
        </w:rPr>
        <w:t>HMK m. 74 özel yetkili vekâletnameyi kontrol edin.</w:t>
      </w:r>
    </w:p>
    <w:p>
      <w:pPr>
        <w:pStyle w:val="ListBullet"/>
      </w:pPr>
      <w:r>
        <w:rPr>
          <w:i/>
        </w:rPr>
        <w:t>Bütün HMK m. 119 unsurlarını ve açık talep sonucunu tamamlayın.</w:t>
      </w:r>
    </w:p>
    <w:p>
      <w:pPr>
        <w:pStyle w:val="ListBullet"/>
      </w:pPr>
      <w:r>
        <w:rPr>
          <w:i/>
        </w:rPr>
        <w:t>Her delili ispatlayacağı vakıayla eşleştirin.</w:t>
      </w:r>
    </w:p>
    <w:p>
      <w:pPr>
        <w:pStyle w:val="ListBullet"/>
      </w:pPr>
      <w:r>
        <w:rPr>
          <w:i/>
        </w:rPr>
        <w:t>Köşeli alanları, kullanılmayan seçenekleri ve bu kontrol bölümünü nihai nüshadan çıkarın.</w:t>
      </w:r>
    </w:p>
    <w:sectPr w:rsidR="00FC693F" w:rsidRPr="0006063C" w:rsidSect="00034616">
      <w:pgSz w:w="12240" w:h="15840"/>
      <w:pgMar w:top="893" w:right="1123" w:bottom="835" w:left="112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35" w:lineRule="auto"/>
    </w:pPr>
    <w:rPr>
      <w:rFonts w:ascii="Aptos" w:hAnsi="Aptos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