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090</w:t>
      </w:r>
    </w:p>
    <w:p>
      <w:pPr>
        <w:pStyle w:val="Title"/>
        <w:jc w:val="center"/>
      </w:pPr>
      <w:r>
        <w:t>Tam Yargı Davası Dilekçesi Örneği</w:t>
      </w:r>
    </w:p>
    <w:p>
      <w:pPr>
        <w:jc w:val="center"/>
      </w:pPr>
      <w:r>
        <w:rPr>
          <w:i/>
          <w:color w:val="475569"/>
        </w:rPr>
        <w:t>İdare ve Vergi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Zarara yol açan idari işlem veya eyleme göre yetkili idare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İdari eylemden doğan zarar için öğrenmeden itibaren bir yıl ve her hâlde eylem tarihinden itibaren beş yıl içinde idareye başvurulur; ret veya zımni ret sonrası dava süresi işler.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Zarar kalemleri, idari eylem veya işlem ile uygun illiyet bağı içinde ve belgeli olmalıdır.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İYUK m. 2, 12 ve 13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Hukuka aykırı idari işlem veya eylem, gerçek ve kesin zarar, uygun illiyet bağı ve ön başvuru süreci ayrı ayrı ispatlanmalıdır.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ZARARA YOL AÇAN IDARI IŞLEM VEYA EYLEME GÖRE YETKILI IDARE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Maddi tazminat.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İdari eylemden doğan zarar için öğrenmeden itibaren bir yıl ve her hâlde eylem tarihinden itibaren beş yıl içinde idareye başvurulur; ret veya zımni ret sonrası dava süresi işler.</w:t>
      </w:r>
    </w:p>
    <w:p>
      <w:r>
        <w:t>2. İdari işlem veya eylem: [SOMUT OLAYI TARİH, YER, KİŞİ VE BELGEYLE UYUMLU OLARAK AÇIKLAYIN].</w:t>
      </w:r>
    </w:p>
    <w:p>
      <w:r>
        <w:t>3. Zararın öğrenilmesi: [SOMUT OLAYI TARİH, YER, KİŞİ VE BELGEYLE UYUMLU OLARAK AÇIKLAYIN].</w:t>
      </w:r>
    </w:p>
    <w:p>
      <w:r>
        <w:t>4. İdareye ön başvuru: [SOMUT OLAYI TARİH, YER, KİŞİ VE BELGEYLE UYUMLU OLARAK AÇIKLAYIN].</w:t>
      </w:r>
    </w:p>
    <w:p>
      <w:r>
        <w:t>5. Maddi zarar kalemleri: [SOMUT OLAYI TARİH, YER, KİŞİ VE BELGEYLE UYUMLU OLARAK AÇIKLAYIN].</w:t>
      </w:r>
    </w:p>
    <w:p>
      <w:r>
        <w:t>6. Manevi zarar ve illiyet: [SOMUT OLAYI TARİH, YER, KİŞİ VE BELGEYLE UYUMLU OLARAK AÇIKLAYIN].</w:t>
      </w:r>
    </w:p>
    <w:p>
      <w:r>
        <w:t>7. Temel hukuki sonuç: Hukuka aykırı idari işlem veya eylem, gerçek ve kesin zarar, uygun illiyet bağı ve ön başvuru süreci ayrı ayrı ispatlanmalıdır.</w:t>
      </w:r>
    </w:p>
    <w:p>
      <w:r>
        <w:t>8. Başvuru öncesi kontrol: Zarar kalemleri, idari eylem veya işlem ile uygun illiyet bağı içinde ve belgeli olmalıdır.</w:t>
      </w:r>
    </w:p>
    <w:p>
      <w:pPr>
        <w:pStyle w:val="Heading1"/>
      </w:pPr>
      <w:r>
        <w:t>HUKUKİ NEDENLER</w:t>
      </w:r>
    </w:p>
    <w:p>
      <w:r>
        <w:t>İYUK m. 2, 12 ve 13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İdari başvuru ve ret cevabı [EK NUMARASI / TARİH]</w:t>
      </w:r>
    </w:p>
    <w:p>
      <w:pPr>
        <w:pStyle w:val="ListBullet"/>
        <w:spacing w:after="60"/>
      </w:pPr>
      <w:r>
        <w:t>Fatura ve ödeme kayıtları [EK NUMARASI / TARİH]</w:t>
      </w:r>
    </w:p>
    <w:p>
      <w:pPr>
        <w:pStyle w:val="ListBullet"/>
        <w:spacing w:after="60"/>
      </w:pPr>
      <w:r>
        <w:t>Sağlık ve uzman raporları [EK NUMARASI / TARİH]</w:t>
      </w:r>
    </w:p>
    <w:p>
      <w:pPr>
        <w:pStyle w:val="ListBullet"/>
        <w:spacing w:after="60"/>
      </w:pPr>
      <w:r>
        <w:t>Gelir kaybı belgeleri [EK NUMARASI / TARİH]</w:t>
      </w:r>
    </w:p>
    <w:p>
      <w:pPr>
        <w:pStyle w:val="ListBullet"/>
        <w:spacing w:after="60"/>
      </w:pPr>
      <w:r>
        <w:t>Tanık ve tutanaklar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Maddi tazminat,</w:t>
      </w:r>
    </w:p>
    <w:p>
      <w:r>
        <w:t>2. Manevi tazminat,</w:t>
      </w:r>
    </w:p>
    <w:p>
      <w:r>
        <w:t>3. Faiz ve yargılama giderleri,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İdari başvuru ve ret cevabı</w:t>
      </w:r>
    </w:p>
    <w:p>
      <w:r>
        <w:t>2. Fatura ve ödeme kayıtları</w:t>
      </w:r>
    </w:p>
    <w:p>
      <w:r>
        <w:t>3. Sağlık ve uzman raporları</w:t>
      </w:r>
    </w:p>
    <w:p>
      <w:r>
        <w:t>4. Gelir kaybı belgeleri</w:t>
      </w:r>
    </w:p>
    <w:p>
      <w:r>
        <w:t>5. Tanık ve tutanaklar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İdari eylemden doğan zarar için öğrenmeden itibaren bir yıl ve her hâlde eylem tarihinden itibaren beş yıl içinde idareye başvurulur; ret veya zımni ret sonrası dava süresi işler.</w:t>
      </w:r>
    </w:p>
    <w:p>
      <w:pPr>
        <w:pStyle w:val="Heading1"/>
      </w:pPr>
      <w:r>
        <w:t>Görev ve Yetki Kontrolü</w:t>
      </w:r>
    </w:p>
    <w:p>
      <w:r>
        <w:t>Zarara yol açan idari işlem veya eyleme göre yetkili idare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İdari işlem veya eylem → İdari başvuru ve ret cevabı</w:t>
      </w:r>
    </w:p>
    <w:p>
      <w:pPr>
        <w:pStyle w:val="ListBullet"/>
        <w:spacing w:after="60"/>
      </w:pPr>
      <w:r>
        <w:t>Zararın öğrenilmesi → Fatura ve ödeme kayıtları</w:t>
      </w:r>
    </w:p>
    <w:p>
      <w:pPr>
        <w:pStyle w:val="ListBullet"/>
        <w:spacing w:after="60"/>
      </w:pPr>
      <w:r>
        <w:t>İdareye ön başvuru → Sağlık ve uzman raporları</w:t>
      </w:r>
    </w:p>
    <w:p>
      <w:pPr>
        <w:pStyle w:val="ListBullet"/>
        <w:spacing w:after="60"/>
      </w:pPr>
      <w:r>
        <w:t>Maddi zarar kalemleri → Gelir kaybı belgeleri</w:t>
      </w:r>
    </w:p>
    <w:p>
      <w:pPr>
        <w:pStyle w:val="ListBullet"/>
        <w:spacing w:after="60"/>
      </w:pPr>
      <w:r>
        <w:t>Manevi zarar ve illiyet → Tanık ve tutanaklar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 Yargı Davası Dilekçesi Örneği</dc:title>
  <dc:subject>İdare ve Vergi Hukuku</dc:subject>
  <dc:creator>Av. Halil Bakırcı</dc:creator>
  <cp:keywords>tam yargı davası dilekçesi örneği, Word dilekçe, İdare ve Vergi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