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TANIMANIN İPTALI DAVA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AILE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2026/290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Tanımanın İptali Dava Dilekçesi kapsamında tanımanın iptali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12.02.2026 — gerçek belge tarihini yazınız</w:t>
            </w:r>
          </w:p>
        </w:tc>
      </w:tr>
    </w:tbl>
    <w:p>
      <w:pPr>
        <w:pStyle w:val="Heading1"/>
      </w:pPr>
      <w:r>
        <w:t>AÇIKLAMALAR</w:t>
      </w:r>
    </w:p>
    <w:p>
      <w:pPr>
        <w:keepLines w:val="0"/>
        <w:ind w:firstLine="340"/>
      </w:pPr>
      <w:r>
        <w:rPr>
          <w:b/>
          <w:color w:val="1E3A8A"/>
        </w:rPr>
        <w:t xml:space="preserve">1. </w:t>
      </w:r>
      <w:r>
        <w:t>Örnek olayda Yanılma sonucu yapılan tanımanın biyolojik bağ bulunmadığı gerekçesiyle iptali istenir. Başvurucu, uyuşmazlığı 12.02.2026 tarihinde öğrenmiş; ilk yazılı başvurusunu 21.03.2026 tarihinde yapmıştır. Bu tarihler yalnız örnek olup gerçek dosyadaki tebliğ, öğrenme veya işlem tarihleriyle değiştirilmelidir.</w:t>
      </w:r>
    </w:p>
    <w:p>
      <w:pPr>
        <w:keepLines w:val="0"/>
        <w:ind w:firstLine="340"/>
      </w:pPr>
      <w:r>
        <w:rPr>
          <w:b/>
          <w:color w:val="1E3A8A"/>
        </w:rPr>
        <w:t xml:space="preserve">2. </w:t>
      </w:r>
      <w:r>
        <w:t>Tanıma işleminin tarih/şekli tarih, yer, kişi ve belge bağlantısıyla açıklanır. Tanıma işleminin tarih/şekli bakımından olayın başlangıcı, tarafların sıfatı ve işlem tarihi birlikte gösterilmiştir. Bu olgu Tanıma senedi/kayıt ile doğrulanmakta; belge Ek-1 olarak sunulmaktadır.</w:t>
      </w:r>
    </w:p>
    <w:p>
      <w:pPr>
        <w:keepLines w:val="0"/>
        <w:ind w:firstLine="340"/>
      </w:pPr>
      <w:r>
        <w:rPr>
          <w:b/>
          <w:color w:val="1E3A8A"/>
        </w:rPr>
        <w:t xml:space="preserve">3. </w:t>
      </w:r>
      <w:r>
        <w:t>Davacı sıfatı tarih, yer, kişi ve belge bağlantısıyla açıklanır. Davacı sıfatı yönünden yalnız sonuç belirtilmemiş, işlemin nasıl gerçekleştiği ve başvurucunun hangi hakkının etkilendiği açıklanmıştır. Nüfus kayıtları, iddiayı doğrulayan temel kayıt olarak Ek-2 numarasıyla dosyaya eklenmiştir.</w:t>
      </w:r>
    </w:p>
    <w:p>
      <w:pPr>
        <w:keepLines w:val="0"/>
        <w:ind w:firstLine="340"/>
      </w:pPr>
      <w:r>
        <w:rPr>
          <w:b/>
          <w:color w:val="1E3A8A"/>
        </w:rPr>
        <w:t xml:space="preserve">4. </w:t>
      </w:r>
      <w:r>
        <w:t>İptal sebebi tarih, yer, kişi ve belge bağlantısıyla açıklanır. İptal sebebi somutlaştırılırken tarih sırası korunmuş ve karşı tarafın ya da kurumun işlemi açıkça gösterilmiştir. Yazışmalar üzerinde yer alan tarih ve kayıt numarası dilekçedeki anlatımla uyumludur.</w:t>
      </w:r>
    </w:p>
    <w:p>
      <w:pPr>
        <w:keepLines w:val="0"/>
        <w:ind w:firstLine="340"/>
      </w:pPr>
      <w:r>
        <w:rPr>
          <w:b/>
          <w:color w:val="1E3A8A"/>
        </w:rPr>
        <w:t xml:space="preserve">5. </w:t>
      </w:r>
      <w:r>
        <w:t>Öğrenme tarihi tarih, yer, kişi ve belge bağlantısıyla açıklanır. Öğrenme tarihi başlığı altında başvurunun hukuki yararı açıklanmıştır. İstenen sonucun neden gerekli olduğu, Tanıklar ile talep arasındaki bağlantı kurularak gösterilmiştir.</w:t>
      </w:r>
    </w:p>
    <w:p>
      <w:pPr>
        <w:keepLines w:val="0"/>
        <w:ind w:firstLine="340"/>
      </w:pPr>
      <w:r>
        <w:rPr>
          <w:b/>
          <w:color w:val="1E3A8A"/>
        </w:rPr>
        <w:t xml:space="preserve">6. </w:t>
      </w:r>
      <w:r>
        <w:t>Çocuk ve kayıt durumu tarih, yer, kişi ve belge bağlantısıyla açıklanır. Çocuk ve kayıt durumu konusunda örnek olayın özel koşulları belirtilmiş; varsayıma dayalı ifade kullanılmamıştır. DNA incelemesi mevcut değilse belgenin hangi kurumdan ve hangi dönem için getirtilmesi istendiği ayrıca yazılmalıdır.</w:t>
      </w:r>
    </w:p>
    <w:p>
      <w:pPr>
        <w:pStyle w:val="Heading1"/>
      </w:pPr>
      <w:r>
        <w:t>HUKUKİ DEĞERLENDİRME</w:t>
      </w:r>
    </w:p>
    <w:p>
      <w:r>
        <w:t>Başvurunun hukuki dayanağı 4721 sayılı TMK m.297-300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4721 sayılı TMK m.297-300</w:t>
      </w:r>
    </w:p>
    <w:p>
      <w:r>
        <w:t>4721 sayılı TMK m.297-300 hükümleri başvurunun maddi ve usul şartlarını belirler. Güncel resmî metin, tebliğ ve işlem tarihinde birlikte değerlendirilir.</w:t>
      </w:r>
    </w:p>
    <w:p>
      <w:pPr>
        <w:pStyle w:val="Heading1"/>
      </w:pPr>
      <w:r>
        <w:t>DELİLLER</w:t>
      </w:r>
    </w:p>
    <w:p>
      <w:r>
        <w:t>1. Ek-1: Tanıma senedi/kayıt — ilgili olay paragrafını doğrulayan tarihli ve okunaklı kayıt.</w:t>
      </w:r>
    </w:p>
    <w:p>
      <w:r>
        <w:t>2. Ek-2: Nüfus kayıtları — ilgili olay paragrafını doğrulayan tarihli ve okunaklı kayıt.</w:t>
      </w:r>
    </w:p>
    <w:p>
      <w:r>
        <w:t>3. Ek-3: Yazışmalar — ilgili olay paragrafını doğrulayan tarihli ve okunaklı kayıt.</w:t>
      </w:r>
    </w:p>
    <w:p>
      <w:r>
        <w:t>4. Ek-4: Tanıklar — ilgili olay paragrafını doğrulayan tarihli ve okunaklı kayıt.</w:t>
      </w:r>
    </w:p>
    <w:p>
      <w:r>
        <w:t>5. Ek-5: DNA incelemesi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4721 sayılı TMK m.297-300 ve somut olaya uygulanacak diğer mevzuat.</w:t>
      </w:r>
    </w:p>
    <w:p>
      <w:pPr>
        <w:pStyle w:val="Heading1"/>
      </w:pPr>
      <w:r>
        <w:t>SONUÇ VE İSTEM</w:t>
      </w:r>
    </w:p>
    <w:p>
      <w:pPr>
        <w:keepNext/>
      </w:pPr>
      <w:r>
        <w:t>Yukarıda açıklanan ve resen dikkate alınacak nedenlerle;</w:t>
      </w:r>
    </w:p>
    <w:p>
      <w:r>
        <w:t>1. Tanımanın iptali.</w:t>
      </w:r>
    </w:p>
    <w:p>
      <w:r>
        <w:t>2. DNA incelemesi.</w:t>
      </w:r>
    </w:p>
    <w:p>
      <w:r>
        <w:t>3. Nüfus kaydının düzeltilmesi.</w:t>
      </w:r>
    </w:p>
    <w:p>
      <w:r>
        <w:t>4. Yargılama giderleri.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21.03.2026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Tanıma senedi/kayıt</w:t>
      </w:r>
    </w:p>
    <w:p>
      <w:r>
        <w:t>2. Nüfus kayıtları</w:t>
      </w:r>
    </w:p>
    <w:p>
      <w:r>
        <w:t>3. Yazışmalar</w:t>
      </w:r>
    </w:p>
    <w:p>
      <w:r>
        <w:t>4. Tanıklar</w:t>
      </w:r>
    </w:p>
    <w:p>
      <w:r>
        <w:t>5. DNA incelemesi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Aile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Tanıyan için iptal sebebini öğrenmeden itibaren bir yıl ve her hâlde tanımadan itibaren beş yıl; diğer ilgililer bakımından TMK’daki özel süreler uygulanır.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Davacı sıfatı, tanıma işlemi, iptal sebebi ve öğrenme tarihi belgelenir.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12.02.2026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Tanıma senedi/kayıt</w:t>
            </w:r>
          </w:p>
        </w:tc>
      </w:tr>
      <w:tr>
        <w:tc>
          <w:tcPr>
            <w:tcW w:type="dxa" w:w="3457"/>
            <w:tcMar>
              <w:top w:w="110" w:type="dxa"/>
              <w:start w:w="120" w:type="dxa"/>
              <w:bottom w:w="110" w:type="dxa"/>
              <w:end w:w="120" w:type="dxa"/>
            </w:tcMar>
          </w:tcPr>
          <w:p>
            <w:r>
              <w:t>21.03.2026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Nüfus kayıtları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Yazışmalar</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Tanıma işleminin tarih/şekli</w:t>
            </w:r>
          </w:p>
        </w:tc>
        <w:tc>
          <w:tcPr>
            <w:tcW w:type="dxa" w:w="3457"/>
            <w:tcMar>
              <w:top w:w="110" w:type="dxa"/>
              <w:start w:w="120" w:type="dxa"/>
              <w:bottom w:w="110" w:type="dxa"/>
              <w:end w:w="120" w:type="dxa"/>
            </w:tcMar>
          </w:tcPr>
          <w:p>
            <w:r>
              <w:t>Tanıma senedi/kayıt</w:t>
            </w:r>
          </w:p>
        </w:tc>
        <w:tc>
          <w:tcPr>
            <w:tcW w:type="dxa" w:w="3457"/>
            <w:tcMar>
              <w:top w:w="110" w:type="dxa"/>
              <w:start w:w="120" w:type="dxa"/>
              <w:bottom w:w="110" w:type="dxa"/>
              <w:end w:w="120" w:type="dxa"/>
            </w:tcMar>
          </w:tcPr>
          <w:p>
            <w:r>
              <w:t>Tanımanın iptali</w:t>
            </w:r>
          </w:p>
        </w:tc>
      </w:tr>
      <w:tr>
        <w:tc>
          <w:tcPr>
            <w:tcW w:type="dxa" w:w="3457"/>
            <w:tcMar>
              <w:top w:w="110" w:type="dxa"/>
              <w:start w:w="120" w:type="dxa"/>
              <w:bottom w:w="110" w:type="dxa"/>
              <w:end w:w="120" w:type="dxa"/>
            </w:tcMar>
          </w:tcPr>
          <w:p>
            <w:r>
              <w:t>Davacı sıfatı</w:t>
            </w:r>
          </w:p>
        </w:tc>
        <w:tc>
          <w:tcPr>
            <w:tcW w:type="dxa" w:w="3457"/>
            <w:tcMar>
              <w:top w:w="110" w:type="dxa"/>
              <w:start w:w="120" w:type="dxa"/>
              <w:bottom w:w="110" w:type="dxa"/>
              <w:end w:w="120" w:type="dxa"/>
            </w:tcMar>
          </w:tcPr>
          <w:p>
            <w:r>
              <w:t>Nüfus kayıtları</w:t>
            </w:r>
          </w:p>
        </w:tc>
        <w:tc>
          <w:tcPr>
            <w:tcW w:type="dxa" w:w="3457"/>
            <w:tcMar>
              <w:top w:w="110" w:type="dxa"/>
              <w:start w:w="120" w:type="dxa"/>
              <w:bottom w:w="110" w:type="dxa"/>
              <w:end w:w="120" w:type="dxa"/>
            </w:tcMar>
          </w:tcPr>
          <w:p>
            <w:r>
              <w:t>DNA incelemesi</w:t>
            </w:r>
          </w:p>
        </w:tc>
      </w:tr>
      <w:tr>
        <w:tc>
          <w:tcPr>
            <w:tcW w:type="dxa" w:w="3457"/>
            <w:tcMar>
              <w:top w:w="110" w:type="dxa"/>
              <w:start w:w="120" w:type="dxa"/>
              <w:bottom w:w="110" w:type="dxa"/>
              <w:end w:w="120" w:type="dxa"/>
            </w:tcMar>
          </w:tcPr>
          <w:p>
            <w:r>
              <w:t>İptal sebebi</w:t>
            </w:r>
          </w:p>
        </w:tc>
        <w:tc>
          <w:tcPr>
            <w:tcW w:type="dxa" w:w="3457"/>
            <w:tcMar>
              <w:top w:w="110" w:type="dxa"/>
              <w:start w:w="120" w:type="dxa"/>
              <w:bottom w:w="110" w:type="dxa"/>
              <w:end w:w="120" w:type="dxa"/>
            </w:tcMar>
          </w:tcPr>
          <w:p>
            <w:r>
              <w:t>Yazışmalar</w:t>
            </w:r>
          </w:p>
        </w:tc>
        <w:tc>
          <w:tcPr>
            <w:tcW w:type="dxa" w:w="3457"/>
            <w:tcMar>
              <w:top w:w="110" w:type="dxa"/>
              <w:start w:w="120" w:type="dxa"/>
              <w:bottom w:w="110" w:type="dxa"/>
              <w:end w:w="120" w:type="dxa"/>
            </w:tcMar>
          </w:tcPr>
          <w:p>
            <w:r>
              <w:t>Nüfus kaydının düzeltilmesi</w:t>
            </w:r>
          </w:p>
        </w:tc>
      </w:tr>
      <w:tr>
        <w:tc>
          <w:tcPr>
            <w:tcW w:type="dxa" w:w="3457"/>
            <w:tcMar>
              <w:top w:w="110" w:type="dxa"/>
              <w:start w:w="120" w:type="dxa"/>
              <w:bottom w:w="110" w:type="dxa"/>
              <w:end w:w="120" w:type="dxa"/>
            </w:tcMar>
          </w:tcPr>
          <w:p>
            <w:r>
              <w:t>Öğrenme tarihi</w:t>
            </w:r>
          </w:p>
        </w:tc>
        <w:tc>
          <w:tcPr>
            <w:tcW w:type="dxa" w:w="3457"/>
            <w:tcMar>
              <w:top w:w="110" w:type="dxa"/>
              <w:start w:w="120" w:type="dxa"/>
              <w:bottom w:w="110" w:type="dxa"/>
              <w:end w:w="120" w:type="dxa"/>
            </w:tcMar>
          </w:tcPr>
          <w:p>
            <w:r>
              <w:t>Tanıklar</w:t>
            </w:r>
          </w:p>
        </w:tc>
        <w:tc>
          <w:tcPr>
            <w:tcW w:type="dxa" w:w="3457"/>
            <w:tcMar>
              <w:top w:w="110" w:type="dxa"/>
              <w:start w:w="120" w:type="dxa"/>
              <w:bottom w:w="110" w:type="dxa"/>
              <w:end w:w="120" w:type="dxa"/>
            </w:tcMar>
          </w:tcPr>
          <w:p>
            <w:r>
              <w:t>Yargılama giderleri</w:t>
            </w:r>
          </w:p>
        </w:tc>
      </w:tr>
      <w:tr>
        <w:tc>
          <w:tcPr>
            <w:tcW w:type="dxa" w:w="3457"/>
            <w:tcMar>
              <w:top w:w="110" w:type="dxa"/>
              <w:start w:w="120" w:type="dxa"/>
              <w:bottom w:w="110" w:type="dxa"/>
              <w:end w:w="120" w:type="dxa"/>
            </w:tcMar>
          </w:tcPr>
          <w:p>
            <w:r>
              <w:t>Çocuk ve kayıt durumu</w:t>
            </w:r>
          </w:p>
        </w:tc>
        <w:tc>
          <w:tcPr>
            <w:tcW w:type="dxa" w:w="3457"/>
            <w:tcMar>
              <w:top w:w="110" w:type="dxa"/>
              <w:start w:w="120" w:type="dxa"/>
              <w:bottom w:w="110" w:type="dxa"/>
              <w:end w:w="120" w:type="dxa"/>
            </w:tcMar>
          </w:tcPr>
          <w:p>
            <w:r>
              <w:t>DNA incelemesi</w:t>
            </w:r>
          </w:p>
        </w:tc>
        <w:tc>
          <w:tcPr>
            <w:tcW w:type="dxa" w:w="3457"/>
            <w:tcMar>
              <w:top w:w="110" w:type="dxa"/>
              <w:start w:w="120" w:type="dxa"/>
              <w:bottom w:w="110" w:type="dxa"/>
              <w:end w:w="120" w:type="dxa"/>
            </w:tcMar>
          </w:tcPr>
          <w:p>
            <w:r>
              <w:t>Tanımanın iptali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Tanıyan için iptal sebebini öğrenmeden itibaren bir yıl ve her hâlde tanımadan itibaren beş yıl; diğer ilgililer bakımından TMK’daki özel süreler uygulanır.</w:t>
      </w:r>
    </w:p>
    <w:p>
      <w:r>
        <w:t>• Görev/yetki riski: Aile mahkemesi</w:t>
      </w:r>
    </w:p>
    <w:p>
      <w:r>
        <w:t>• Ön koşul riski: Davacı sıfatı, tanıma işlemi, iptal sebebi ve öğrenme tarihi belgelenir.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Tanımanın İptali Dava Dilekçesi Örneği 2026 | Word İndir</dc:title>
  <dc:subject>tanımanın iptali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