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 w:before="0" w:line="276" w:lineRule="auto"/>
        <w:jc w:val="center"/>
      </w:pPr>
      <w:r>
        <w:rPr>
          <w:rFonts w:ascii="Arial" w:hAnsi="Arial" w:eastAsia="Arial"/>
          <w:sz w:val="20"/>
          <w:szCs w:val="20"/>
          <w:b/>
        </w:rPr>
        <w:t xml:space="preserve">BAKIRCI &amp; KESKİN HUKUK BÜROSU</w:t>
      </w:r>
      <w:r>
        <w:rPr>
          <w:rFonts w:ascii="Arial" w:hAnsi="Arial" w:eastAsia="Arial"/>
          <w:sz w:val="18"/>
          <w:szCs w:val="18"/>
        </w:rPr>
        <w:t xml:space="preserve">  |  PROFESYONEL ÖRNEK DİLEKÇE</w:t>
      </w:r>
    </w:p>
    <w:p>
      <w:pPr>
        <w:spacing w:after="250" w:before="0" w:line="276" w:lineRule="auto"/>
        <w:jc w:val="center"/>
      </w:pPr>
      <w:r>
        <w:rPr>
          <w:rFonts w:ascii="Arial" w:hAnsi="Arial" w:eastAsia="Arial"/>
          <w:sz w:val="25"/>
          <w:szCs w:val="25"/>
          <w:b/>
        </w:rPr>
        <w:t xml:space="preserve">[TAŞINMAZIN BULUNDUĞU YER] SULH HUKUK MAHKEMESİ SAYIN HÂKİMLİĞİNE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TALEP EDEN: </w:t>
      </w:r>
      <w:r>
        <w:rPr>
          <w:rFonts w:ascii="Arial" w:hAnsi="Arial" w:eastAsia="Arial"/>
          <w:sz w:val="21"/>
          <w:szCs w:val="21"/>
        </w:rPr>
        <w:t xml:space="preserve">[AD SOYAD, T.C. KİMLİK NO, ADRES]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İLGİLİ: </w:t>
      </w:r>
      <w:r>
        <w:rPr>
          <w:rFonts w:ascii="Arial" w:hAnsi="Arial" w:eastAsia="Arial"/>
          <w:sz w:val="21"/>
          <w:szCs w:val="21"/>
        </w:rPr>
        <w:t xml:space="preserve">[İLGİLİ TAPU MÜDÜRLÜĞÜ]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VEKİLİ: </w:t>
      </w:r>
      <w:r>
        <w:rPr>
          <w:rFonts w:ascii="Arial" w:hAnsi="Arial" w:eastAsia="Arial"/>
          <w:sz w:val="21"/>
          <w:szCs w:val="21"/>
        </w:rPr>
        <w:t xml:space="preserve">Avukat Halil Bakırcı</w:t>
      </w:r>
    </w:p>
    <w:p>
      <w:pPr>
        <w:spacing w:after="13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KONU: </w:t>
      </w:r>
      <w:r>
        <w:rPr>
          <w:rFonts w:ascii="Arial" w:hAnsi="Arial" w:eastAsia="Arial"/>
          <w:sz w:val="21"/>
          <w:szCs w:val="21"/>
        </w:rPr>
        <w:t xml:space="preserve">Tapu kaydındaki malik kimlik bilgilerinin nüfus kaydıyla uyumlu hale getirilmesi ve gerekli düzeltmenin tapu siciline işlenmesi talebidir.</w:t>
      </w:r>
    </w:p>
    <w:p>
      <w:pPr>
        <w:spacing w:after="110" w:before="11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AÇIKLAMALAR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1. Taşınmaz kaydı: </w:t>
      </w:r>
      <w:r>
        <w:rPr>
          <w:rFonts w:ascii="Arial" w:hAnsi="Arial" w:eastAsia="Arial"/>
          <w:sz w:val="21"/>
          <w:szCs w:val="21"/>
        </w:rPr>
        <w:t xml:space="preserve">[İL/İLÇE/MAHALLE/ADA/PARSEL/BAĞIMSIZ BÖLÜM] taşınmazın malik hanesinde [HATALI KAYIT] yazılıdır.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2. Doğru kimlik bilgisi: </w:t>
      </w:r>
      <w:r>
        <w:rPr>
          <w:rFonts w:ascii="Arial" w:hAnsi="Arial" w:eastAsia="Arial"/>
          <w:sz w:val="21"/>
          <w:szCs w:val="21"/>
        </w:rPr>
        <w:t xml:space="preserve">Talep edenin nüfus kayıtlarında doğru bilgi [DOĞRU AD-SOYAD/BABA ADI/DOĞUM TARİHİ] şeklindedir.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3. Kişi aynılığı: </w:t>
      </w:r>
      <w:r>
        <w:rPr>
          <w:rFonts w:ascii="Arial" w:hAnsi="Arial" w:eastAsia="Arial"/>
          <w:sz w:val="21"/>
          <w:szCs w:val="21"/>
        </w:rPr>
        <w:t xml:space="preserve">Tapu edinim belgesi, önceki kayıtlar, nüfus kayıtları ve gerektiğinde tanık/kurum kayıtları birlikte değerlendirildiğinde tapudaki malik ile talep edenin aynı kişi olduğu anlaşılmaktadır.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4. Hatanın kaynağı: </w:t>
      </w:r>
      <w:r>
        <w:rPr>
          <w:rFonts w:ascii="Arial" w:hAnsi="Arial" w:eastAsia="Arial"/>
          <w:sz w:val="21"/>
          <w:szCs w:val="21"/>
        </w:rPr>
        <w:t xml:space="preserve">Yanlışlık [YAZIM/ESKİ SOYADI/BABA ADI/DİĞER] kaynaklı olup mülkiyetin devri veya yeni bir ayni hak kurulması istenmemektedir.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5. İdari başvuru: </w:t>
      </w:r>
      <w:r>
        <w:rPr>
          <w:rFonts w:ascii="Arial" w:hAnsi="Arial" w:eastAsia="Arial"/>
          <w:sz w:val="21"/>
          <w:szCs w:val="21"/>
        </w:rPr>
        <w:t xml:space="preserve">Tapu müdürlüğüne [TARİH] tarihinde başvurulmuş; işlem [RET/YETERSİZ BELGE/YARGI KARARI TALEBİ] gerekçesiyle sonuçlandırılmıştır. Belge eklenmiştir.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6. Üçüncü kişi hakları: </w:t>
      </w:r>
      <w:r>
        <w:rPr>
          <w:rFonts w:ascii="Arial" w:hAnsi="Arial" w:eastAsia="Arial"/>
          <w:sz w:val="21"/>
          <w:szCs w:val="21"/>
        </w:rPr>
        <w:t xml:space="preserve">Talep, pay oranını ve taşınmazın ayni durumunu değiştirmemekte; yalnız sicildeki kimlik bilgisinin gerçeğe uygun hale getirilmesini amaçlamaktadır.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7. Kayıtların celbi: </w:t>
      </w:r>
      <w:r>
        <w:rPr>
          <w:rFonts w:ascii="Arial" w:hAnsi="Arial" w:eastAsia="Arial"/>
          <w:sz w:val="21"/>
          <w:szCs w:val="21"/>
        </w:rPr>
        <w:t xml:space="preserve">Kadastro/tapu tedavül kayıtları ile nüfus arşiv kayıtlarının ilgili kurumlardan getirtilmesi talep edilmektedir.</w:t>
      </w:r>
    </w:p>
    <w:p>
      <w:pPr>
        <w:spacing w:after="60" w:before="10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HUKUKİ NEDENLER</w:t>
      </w:r>
    </w:p>
    <w:p>
      <w:pPr>
        <w:spacing w:after="100" w:before="0" w:line="276" w:lineRule="auto"/>
      </w:pPr>
      <w:r>
        <w:rPr>
          <w:rFonts w:ascii="Arial" w:hAnsi="Arial" w:eastAsia="Arial"/>
          <w:sz w:val="21"/>
          <w:szCs w:val="21"/>
        </w:rPr>
        <w:t xml:space="preserve">4721 sayılı Türk Medeni Kanunu’nun tapu siciline ilişkin hükümleri; 6100 sayılı HMK’nın çekişmesiz yargı ve delile ilişkin hükümleri; Tapu Sicili mevzuatı.</w:t>
      </w:r>
    </w:p>
    <w:p>
      <w:pPr>
        <w:spacing w:after="60" w:before="8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DELİLLER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1. Güncel tapu kaydı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2. Tapu tedavül ve edinim belgeleri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3. Nüfus kayıt örneği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4. Kimlik belgesi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5. Tapu müdürlüğü başvuru/ret yazısı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6. Kadastro ve arşiv kayıtları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7. Tanık ve diğer yasal deliller</w:t>
      </w:r>
    </w:p>
    <w:p>
      <w:pPr>
        <w:spacing w:after="120" w:before="8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SONUÇ VE İSTEM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1. Tapu ve nüfus kayıtlarının celbine,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2. Malik hanesindeki [HATALI BİLGİ] kaydının [DOĞRU BİLGİ] olarak düzeltilmesine,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3. Düzeltme kararının ilgili Tapu Müdürlüğüne gönderilmesine,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4. Yargılama giderlerinin hukuki durumuna göre karara bağlanmasına</w:t>
      </w:r>
    </w:p>
    <w:p>
      <w:pPr>
        <w:spacing w:after="120" w:before="140" w:line="276" w:lineRule="auto"/>
        <w:jc w:val="right"/>
      </w:pPr>
      <w:r>
        <w:rPr>
          <w:rFonts w:ascii="Arial" w:hAnsi="Arial" w:eastAsia="Arial"/>
          <w:sz w:val="21"/>
          <w:szCs w:val="21"/>
          <w:b/>
        </w:rPr>
        <w:t xml:space="preserve">[TARİH]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Talep Eden Vekili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Avukat Halil Bakırcı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  <w:color w:val="1E3A8A"/>
        </w:rPr>
        <w:t xml:space="preserve">EKLER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Ek-1: Güncel tapu kaydı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Ek-2: Tapu tedavül ve edinim belgeleri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Ek-3: Nüfus kayıt örneği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Ek-4: Kimlik belgesi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Ek-5: Tapu müdürlüğü başvuru/ret yazısı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Ek-6: Kadastro ve arşiv kayıtları</w:t>
      </w:r>
    </w:p>
    <w:p>
      <w:pPr>
        <w:spacing w:after="15" w:before="180" w:line="276" w:lineRule="auto"/>
        <w:jc w:val="center"/>
      </w:pPr>
      <w:r>
        <w:rPr>
          <w:rFonts w:ascii="Arial" w:hAnsi="Arial" w:eastAsia="Arial"/>
          <w:sz w:val="16"/>
          <w:szCs w:val="16"/>
        </w:rPr>
        <w:t xml:space="preserve">Örnek belge • Hazırlayan: Avukat Halil Bakırcı • halilbakirci.av.tr</w:t>
      </w:r>
    </w:p>
    <w:sectPr>
      <w:pgSz w:w="11906" w:h="16838"/>
      <w:pgMar w:top="1020" w:right="1134" w:bottom="1020" w:left="1247" w:header="300" w:footer="3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  <w:pPrDefault>
      <w:pPr/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