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rPr>
        <w:t>T.C. [...] SULH HUKUK MAHKEMESİNE</w:t>
      </w:r>
    </w:p>
    <w:p>
      <w:r>
        <w:rPr>
          <w:b/>
        </w:rPr>
        <w:t>DELİL TESPİTİ DOSYA NO</w:t>
      </w:r>
      <w:r>
        <w:t xml:space="preserve"> : [20../... D. İş]</w:t>
      </w:r>
    </w:p>
    <w:p>
      <w:r>
        <w:rPr>
          <w:b/>
        </w:rPr>
        <w:t>İTİRAZ EDEN / KARŞI TARAF</w:t>
      </w:r>
      <w:r>
        <w:t xml:space="preserve"> : [Ad/unvan, TCKN/VKN, adres]</w:t>
      </w:r>
    </w:p>
    <w:p>
      <w:r>
        <w:rPr>
          <w:b/>
        </w:rPr>
        <w:t>VEKİLİ</w:t>
      </w:r>
      <w:r>
        <w:t xml:space="preserve"> : Av. [ad soyad, baro sicil, adres]</w:t>
      </w:r>
    </w:p>
    <w:p>
      <w:r>
        <w:rPr>
          <w:b/>
        </w:rPr>
        <w:t>TESPİT TALEP EDEN</w:t>
      </w:r>
      <w:r>
        <w:t xml:space="preserve"> : [Ad/unvan]</w:t>
      </w:r>
    </w:p>
    <w:p>
      <w:r>
        <w:rPr>
          <w:b/>
        </w:rPr>
        <w:t>TEBLİĞ TARİHİ</w:t>
      </w:r>
      <w:r>
        <w:t xml:space="preserve"> : [Gün/ay/yıl; tebliğ mazbatasına göre]</w:t>
      </w:r>
    </w:p>
    <w:p>
      <w:r>
        <w:rPr>
          <w:b/>
        </w:rPr>
        <w:t>KONU</w:t>
      </w:r>
      <w:r>
        <w:t xml:space="preserve"> : HMK m. 403/1 uyarınca, karşı tarafa önceden tebligat yapılmadan gerçekleştirilen [tarih] tarihli delil tespiti kararına tebliğden itibaren bir haftalık sürede itirazımızın sunulmasıdır.</w:t>
      </w:r>
    </w:p>
    <w:p>
      <w:r>
        <w:rPr>
          <w:b/>
        </w:rPr>
        <w:t>AÇIKLAMALAR</w:t>
      </w:r>
    </w:p>
    <w:p>
      <w:r>
        <w:t>1. Mahkemenizin [dosya numarası] sayılı dosyasında talep eden [ad], [depo adresi] adresindeki [mal grubu] hakkında hasar tespiti istemiştir. [Karar tarihi] tarihli kararla karşı tarafa önceden tebligat yapılmadan tespit icra edilmiş; [tespit tarihi] tutanağı düzenlenmiştir. Karar ve tutanağın kimliği dosyadaki nüshalarla aynıdır.</w:t>
      </w:r>
    </w:p>
    <w:p>
      <w:r>
        <w:t>2. Tespit dilekçesi [tarih], tespit kararı [tarih], tutanak [tarih] ve [varsa bilirkişi raporu: tarih] tarafımıza [tebliğ tarihi] tarihinde tebliğ edilmiştir (Ek-1). HMK m. 403/1 uyarınca karar itirazımız tebliğden itibaren bir haftalık sürededir. [Dört belgeden biri tebliğ edilmediyse, bu cümleyi gerçek tebliğ listesi ve eksik belgeyle yeniden yazınız.]</w:t>
      </w:r>
    </w:p>
    <w:p>
      <w:r>
        <w:t>3. Talep dilekçesinde önceden bildirim yapılmamasına gerekçe olarak [karşı tarafın iddiasını doğru ve kısa aktarınız] gösterilmiştir. Buna karşı [tarih] tarihli [depo giriş çıkış kaydı/tahliye bildirimi] malların [somut durum] olduğunu göstermektedir (Ek-2). [Karar sayfa/paragraf] içinde hakların korunması için ön bildirimden vazgeçilmesini zorunlu kılan somut olgu [kararda gerçekten var olan gerekçe ve eksikliği belirtiniz] yönünden incelenmelidir.</w:t>
      </w:r>
    </w:p>
    <w:p>
      <w:r>
        <w:t>4. Tespit kararının kapsamı [karar sayfa ve ölçülmesi istenen olgu] ile sınırlıdır. Tutanakta [sayfa/satır] [fiilen görülen palet veya ölçülen bölüm] kayıtlıdır. [Varsa] bilirkişi raporunun [sayfa/tablo] kısmında [rapordaki tespit] bu kayıtla [somut ve doğrulanabilir fark] yönünden uyuşmamaktadır. Ek-3 tutanak sayfası ve Ek-4 rapor sayfası birlikte karşılaştırılmalıdır.</w:t>
      </w:r>
    </w:p>
    <w:p>
      <w:r>
        <w:t>5. [Tarih] tarihli stok giriş çıkış çizelgesi ve [sevk fişi numaraları] (Ek-5), tespitin yapıldığı gündeki gerçek stok ve hasar kapsamının belirlenmesi bakımından önemlidir. Belgelerin kayıt tarihi, tespit gününe göre konumu ve hangi teknik bulguyu etkilediği [somut eşleştirme] biçimindedir. Dava konusu tazminatın esası hakkında bu delil tespiti dosyasında nihai hüküm talep edilmemektedir.</w:t>
      </w:r>
    </w:p>
    <w:p>
      <w:r>
        <w:t>6. HMK m. 403/1 tebligatsız tespiti hakların korunması için zorunluluk koşuluna bağlamakta ve tespit sonrası sayılan belgelerin tebliğinden itibaren bir haftalık karar itirazı hakkı tanımaktadır. Kararın bu koşul, tespit kapsamı ve yukarıdaki somut kayıt çelişkileri üzerinden incelenmesini talep ederiz.</w:t>
      </w:r>
    </w:p>
    <w:p>
      <w:r>
        <w:rPr>
          <w:b/>
        </w:rPr>
        <w:t>HUKUKİ NEDENLER</w:t>
      </w:r>
    </w:p>
    <w:p>
      <w:r>
        <w:t>6100 sayılı HMK m. 400, 401, 402, 403/1, 405 ve ilgili usul hükümleri.</w:t>
      </w:r>
    </w:p>
    <w:p>
      <w:r>
        <w:rPr>
          <w:b/>
        </w:rPr>
        <w:t>SONUÇ VE İSTEM</w:t>
      </w:r>
    </w:p>
    <w:p>
      <w:r>
        <w:t>Açıklanan nedenlerle, tebliğden itibaren bir haftalık sürede HMK m. 403/1 uyarınca delil tespiti kararına itirazımızın kabulüne; önceden tebligat yapılmamasının zorunluluk koşulunun Ek-2 belgeleriyle, tespit kapsamı ve tutanak ile rapor arasındaki Ek-3/4 çelişkisinin Ek-5 kayıtlarıyla birlikte değerlendirilmesine; itiraz nedenlerimiz hakkında gerekçeli karar verilmesini saygıyla talep ederiz. 29/09/2026</w:t>
      </w:r>
    </w:p>
    <w:p>
      <w:pPr>
        <w:jc w:val="right"/>
      </w:pPr>
      <w:r>
        <w:t>İtiraz Eden Vekili</w:t>
        <w:br/>
        <w:t>Av. [Ad Soyad]</w:t>
        <w:br/>
        <w:t>(E-İMZALIDIR)</w:t>
      </w:r>
    </w:p>
    <w:p>
      <w:r>
        <w:rPr>
          <w:b/>
        </w:rPr>
        <w:t>EKLER</w:t>
      </w:r>
    </w:p>
    <w:p>
      <w:pPr>
        <w:pStyle w:val="ListBullet"/>
      </w:pPr>
      <w:r>
        <w:t>Ek-1: Tebliğ mazbatası/elektronik tebligat kaydı ve tebliğ evrakı listesi</w:t>
      </w:r>
    </w:p>
    <w:p>
      <w:pPr>
        <w:pStyle w:val="ListBullet"/>
      </w:pPr>
      <w:r>
        <w:t>Ek-2: Tarihli depo giriş çıkış kaydı veya tahliye bildirimi</w:t>
      </w:r>
    </w:p>
    <w:p>
      <w:pPr>
        <w:pStyle w:val="ListBullet"/>
      </w:pPr>
      <w:r>
        <w:t>Ek-3: Tespit kararı ve tutanağın atıf yapılan sayfaları</w:t>
      </w:r>
    </w:p>
    <w:p>
      <w:pPr>
        <w:pStyle w:val="ListBullet"/>
      </w:pPr>
      <w:r>
        <w:t>Ek-4: Varsa bilirkişi raporunun atıf yapılan sayfaları</w:t>
      </w:r>
    </w:p>
    <w:p>
      <w:pPr>
        <w:pStyle w:val="ListBullet"/>
      </w:pPr>
      <w:r>
        <w:t>Ek-5: Tarihli stok çizelgesi ve sevk fişleri (gerçekten mevcut olanlar)</w:t>
      </w:r>
    </w:p>
    <w:p>
      <w:r>
        <w:rPr>
          <w:b/>
        </w:rPr>
        <w:t>DOLDURMA KONTROLÜ — MAHKEMEYE VERİLECEK NÜSHADAN ÇIKARIN</w:t>
      </w:r>
    </w:p>
    <w:p>
      <w:r>
        <w:t>Köşeli alanları gerçek dosyadan doldurun. Eksik tebliğ, rapor ve teknik fark seçeneklerini yalnızca doğruysa bırakın. Tebliğ tarihi ile bir haftalık süreyi gerçek kayıtlardan hesaplayın. Ek numaralarını gerçekten sunulan belgelere göre düzeltin ve tarihi gönderim gününe uyarlayın.</w:t>
      </w:r>
    </w:p>
    <w:sectPr w:rsidR="00FC693F" w:rsidRPr="0006063C" w:rsidSect="00034616">
      <w:pgSz w:w="12240" w:h="15840"/>
      <w:pgMar w:top="1134" w:right="1247" w:bottom="1077" w:left="13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