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6"/>
        </w:rPr>
        <w:t>T.C. [YER] ASLİYE TİCARET MAHKEMESİNE</w:t>
      </w:r>
    </w:p>
    <w:p>
      <w:r>
        <w:rPr>
          <w:b/>
        </w:rPr>
        <w:t>ESAS NO</w:t>
      </w:r>
      <w:r>
        <w:t xml:space="preserve"> : [20../... E.]</w:t>
      </w:r>
    </w:p>
    <w:p>
      <w:r>
        <w:rPr>
          <w:b/>
        </w:rPr>
        <w:t>DAVALI</w:t>
      </w:r>
      <w:r>
        <w:t xml:space="preserve"> : [Şirket unvanı, vergi/MERSİS no ve adres]</w:t>
      </w:r>
    </w:p>
    <w:p>
      <w:r>
        <w:rPr>
          <w:b/>
        </w:rPr>
        <w:t>VEKİLİ</w:t>
      </w:r>
      <w:r>
        <w:t xml:space="preserve"> : Av. Halil BAKIRCI, Mersin Barosu Sicil No 3472</w:t>
      </w:r>
    </w:p>
    <w:p>
      <w:r>
        <w:rPr>
          <w:b/>
        </w:rPr>
        <w:t>DAVACI</w:t>
      </w:r>
      <w:r>
        <w:t xml:space="preserve"> : [Platform sağlayıcısı şirket unvanı ve adres]</w:t>
      </w:r>
    </w:p>
    <w:p>
      <w:r>
        <w:rPr>
          <w:b/>
        </w:rPr>
        <w:t>KONU</w:t>
      </w:r>
      <w:r>
        <w:t xml:space="preserve"> : Sözleşmenin [14.3] maddesindeki tek taraflı sistem kayıtlarını münhasır ve kesin delil sayan şartın HMK m. 193/2 uyarınca geçersiz ve somut uyuşmazlıkta uygulanamaz olduğunun kabulü; bağımsız karşı delillerin toplanması, ham kayıtların ibrazı ve tüm delillerin birlikte değerlendirilmesi talebidir.</w:t>
      </w:r>
    </w:p>
    <w:p>
      <w:pPr>
        <w:keepNext/>
      </w:pPr>
      <w:r>
        <w:rPr>
          <w:b/>
        </w:rPr>
        <w:t>AÇIKLAMALAR</w:t>
      </w:r>
    </w:p>
    <w:p>
      <w:r>
        <w:t>1. Davacı, taraflar arasındaki [02/01/2026] tarihli [lojistik platform hizmet sözleşmesine] dayanarak, [01/05/2026–31/05/2026] döneminde [18.400] ek kullanım olayı oluştuğunu ileri sürmekte ve [780.000 TL] ek hizmet bedeli talep etmektedir. İddianın dayanağı, davacının kendi sisteminden ürettiği [tarih ve rapor adı] başlıklı özet kullanım raporudur.</w:t>
      </w:r>
    </w:p>
    <w:p>
      <w:r>
        <w:t>2. Sözleşmenin [14.3] maddesinde “Sağlayıcının her türlü elektronik, sistem ve veri tabanı kaydı taraflar arasında münhasır, kesin ve bağlayıcı delildir; müşteri bu kayıtların aksini başka delille ispatlayamaz” hükmü yer almaktadır. İmzalı sözleşmenin ilgili bölümü Ek-1’dedir.</w:t>
      </w:r>
    </w:p>
    <w:p>
      <w:r>
        <w:t>3. Müvekkil, hizmetin [12/05/2026] tarihinde devre dışı bırakıldığını; [KEP ileti numarası] fesih/kapatma bildirimi, banka hareketleri, bağımsız [entegrasyon platformu] dışa aktarımı ve API bağlantı kayıtlarıyla göstermektedir. Bu deliller Ek-[...] olarak sunulmuştur veya belirtilen kurumlardan getirtilmesi istenmektedir.</w:t>
      </w:r>
    </w:p>
    <w:p>
      <w:r>
        <w:t>4. Davacının dayandığı ham işlem logları, benzersiz olay kimlikleri, zaman damgaları, kullanıcı oturumları, değişiklik geçmişi ve denetim izi yalnız davacının kontrolündedir. Müvekkile salt okunur arşiv, düzenli dışa aktarım, bağımsız yedek veya denetim erişimi verilmemiştir. Müvekkilin [tarih] tarihli ham veri talebi de karşılanmamıştır.</w:t>
      </w:r>
    </w:p>
    <w:p>
      <w:r>
        <w:t>5. Sözleşme şartı uygulanırsa davacı kendi oluşturduğu özet raporla iddiasını kesin biçimde ispatlamış sayılacak; müvekkilin bağımsız delilleri dışlanacak ve raporun dayandığı özgün veriye erişim mümkün olmayacaktır. Bu sonuç, ispat hakkını fiilen ortadan kaldırmaktadır.</w:t>
      </w:r>
    </w:p>
    <w:p>
      <w:pPr>
        <w:keepNext/>
      </w:pPr>
      <w:r>
        <w:rPr>
          <w:b/>
        </w:rPr>
        <w:t>HMK 193/2 UYARINCA DELİL ŞARTININ GEÇERSİZLİĞİ</w:t>
      </w:r>
    </w:p>
    <w:p>
      <w:r>
        <w:t>1. HMK m. 193/1, delil sözleşmesinin yazılı yapılmasına veya mahkeme önünde tutanağa geçirilecek imzalı beyanla kurulmasına imkân verir. Aynı maddenin ikinci fıkrası ise taraflardan birinin ispat hakkının kullanımını imkânsız kılan veya fevkalade güçleştiren delil sözleşmelerinin geçersiz olduğunu açıkça düzenler.</w:t>
      </w:r>
    </w:p>
    <w:p>
      <w:r>
        <w:t>2. İtirazımız, her sistem kaydının kendiliğinden geçersiz olduğu iddiasına dayanmamaktadır. Somut şart; (a) veriyi yalnız davacı ürettiği ve sakladığı, (b) müvekkilin ham veriye ve denetim izine erişemediği, (c) davacının kendi özetini münhasır ve kesin delil saydığı, (d) bağımsız karşı delilleri dışladığı için HMK m. 193/2’deki yasağa aykırıdır.</w:t>
      </w:r>
    </w:p>
    <w:p>
      <w:r>
        <w:t>3. HMK m. 27/2 kapsamındaki açıklama ve ispat hakkı, tarafın delillerini sunabilmesini ve bunların mahkemece değerlendirilmesini içerir. Müvekkilin KEP, banka, GPS ve bağımsız platform kayıtlarının peşinen dışlanması hukuki dinlenilme hakkını sonuçsuz bırakır.</w:t>
      </w:r>
    </w:p>
    <w:p>
      <w:r>
        <w:t>4. HMK m. 190 uyarınca ek kullanım olaylarının gerçekleştiği ve alacağın doğduğu vakıalardan lehine sonuç çıkaran davacı bu vakıaları ispatlamalıdır. Delil şartı, davacının kendi kontrolündeki kayıtla bu yükü tartışmasız tamamlamasını ve müvekkilin aksini ispatlayamamasını sağlayacak biçimde uygulanamaz.</w:t>
      </w:r>
    </w:p>
    <w:p>
      <w:pPr>
        <w:keepNext/>
      </w:pPr>
      <w:r>
        <w:rPr>
          <w:b/>
        </w:rPr>
        <w:t>SİSTEM RAPORUNUN NİTELİĞİ VE TEKNİK İNCELEME</w:t>
      </w:r>
    </w:p>
    <w:p>
      <w:r>
        <w:t>1. Davacının elektronik kaydı HMK m. 199 kapsamında belge olarak dosyaya alınabilir; ancak belge niteliği, kayda kendiliğinden kesin ve aksi ispatlanamaz güç vermez. Geçersiz delil şartı uygulanmadan, tüm deliller HMK m. 198 uyarınca birlikte değerlendirilmelidir.</w:t>
      </w:r>
    </w:p>
    <w:p>
      <w:r>
        <w:t>2. Davacıdan [01/05/2026–31/05/2026] dönemi, [müşteri hesap/tenant ID] ve ihtilaflı [18.400] olay bakımından: özgün biçimde ham loglar, benzersiz olay kimlikleri, oluşturma/değiştirme zamanları, kullanıcı ve IP bilgileri, API çağrıları, hata kayıtları, denetim izi, yetki listesi, yedek ve geri yükleme kayıtlarının ibrazı istenmelidir.</w:t>
      </w:r>
    </w:p>
    <w:p>
      <w:r>
        <w:t>3. Teknik inceleme gerekiyorsa bilirkişiye hukuki geçerlilik sorulmamalı; HMK m. 266 çerçevesinde rapordaki olayların ham veride karşılığı, sonradan değişiklik, 12 Mayıs sonrası çağrıların kaynağı, denetim izinin sürekliliği ve bağımsız kayıtlarla zaman eşleşmesi incelettirilmelidir.</w:t>
      </w:r>
    </w:p>
    <w:p>
      <w:pPr>
        <w:keepNext/>
      </w:pPr>
      <w:r>
        <w:rPr>
          <w:b/>
        </w:rPr>
        <w:t>KARŞI DELİLLER VE VAKIA EŞLEŞTİRMESİ</w:t>
      </w:r>
    </w:p>
    <w:p>
      <w:r>
        <w:t>1. [KEP gönderi, teslim ve okuma kayıtları]: Hizmetin [12/05/2026] tarihinde kapatılmasının davacıya bildirildiğini göstermek içindir.</w:t>
      </w:r>
    </w:p>
    <w:p>
      <w:r>
        <w:t>2. [Bağımsız entegrasyon platformu dışa aktarımı ve API kayıtları]: [12/05/2026] sonrasında müvekkil hesabından bağlantı/çağrı yapılmadığını göstermek içindir.</w:t>
      </w:r>
    </w:p>
    <w:p>
      <w:r>
        <w:t>3. [Banka hesap hareketleri ve tahsilat/iade kayıtları]: Hizmet kapatma işlemi ve tarafların dönem sonrasındaki ifa davranışını göstermek içindir.</w:t>
      </w:r>
    </w:p>
    <w:p>
      <w:r>
        <w:t>4. [Taşıyıcı GPS ve sefer kayıtları]: Davacı raporundaki seçilmiş kullanım olaylarının fiziksel taşıma hareketleriyle eşleşmediğini göstermek içindir.</w:t>
      </w:r>
    </w:p>
    <w:p>
      <w:r>
        <w:t>5. Bu deliller HMK m. 194/2 uyarınca belirli vakıalarla eşleştirilmiştir. Müvekkilin elinde bulunmayan kayıtlar bakımından ilgili kurum veya üçüncü kişiye HMK m. 195 uyarınca müzekkere yazılması talep olunur.</w:t>
      </w:r>
    </w:p>
    <w:p>
      <w:pPr>
        <w:keepNext/>
      </w:pPr>
      <w:r>
        <w:rPr>
          <w:b/>
        </w:rPr>
        <w:t>HUKUKİ SEBEPLER</w:t>
      </w:r>
    </w:p>
    <w:p>
      <w:r>
        <w:t>6100 sayılı Hukuk Muhakemeleri Kanunu m. 27, 189, 190, 193, 194, 195, 198, 199, 219 ve devamı, 266 ve ilgili diğer mevzuat.</w:t>
      </w:r>
    </w:p>
    <w:p>
      <w:pPr>
        <w:keepNext/>
      </w:pPr>
      <w:r>
        <w:rPr>
          <w:b/>
        </w:rPr>
        <w:t>DELİLLER</w:t>
      </w:r>
    </w:p>
    <w:p>
      <w:r>
        <w:t>[02/01/2026] tarihli sözleşme ve [14.3] maddesi; dava dilekçesi ve davacı kullanım raporu; KEP gönderi–teslim–okuma delilleri; banka kayıtları; bağımsız entegrasyon platformu dışa aktarımı ve API kayıtları; davacıya gönderilen ham veri talepleri; taşıyıcı GPS ve sefer kayıtları; ham loglar, denetim izi, kullanıcı yetkileri, değişiklik, yedek ve geri yükleme kayıtları; ticari kayıtlar; gerektiğinde sınırlı teknik bilirkişi incelemesi; ilgili diğer yasal deliller.</w:t>
      </w:r>
    </w:p>
    <w:p>
      <w:pPr>
        <w:keepNext/>
      </w:pPr>
      <w:r>
        <w:rPr>
          <w:b/>
        </w:rPr>
        <w:t>SONUÇ VE İSTEM</w:t>
      </w:r>
    </w:p>
    <w:p>
      <w:pPr>
        <w:keepLines/>
      </w:pPr>
      <w:r>
        <w:t>Açıklanan nedenlerle; (1) Sözleşmenin [14.3] maddesindeki davacının tek taraflı sistem kayıtlarını münhasır, kesin ve aksi ispatlanamaz delil sayan şartın, müvekkilin ispat hakkını imkânsız kılması veya fevkalade güçleştirmesi nedeniyle HMK m. 193/2 uyarınca geçersiz olduğunun ve somut uyuşmazlıkta müvekkil aleyhine uygulanamayacağının kabulüne, (2) davacının özet sistem raporuna münhasır veya kesin delil etkisi tanınmamasına, (3) yukarıda somutlaştırılan KEP, banka, bağımsız platform, API, GPS ve sefer kayıtlarının dosyaya alınmasına/getirtilmesine, (4) davacıdan ihtilaflı döneme ait özgün ham loglar, olay kimlikleri, zaman ve kullanıcı bilgileri, denetim izi, değişiklik geçmişi, yetki listesi, yedek ve geri yükleme kayıtlarının ibrazının istenmesine, (5) gerekirse HMK m. 266 kapsamında sınırları yukarıda gösterilen teknik bilirkişi incelemesi yaptırılmasına, (6) bütün delillerin HMK m. 198 uyarınca birlikte değerlendirilmesine ve yalnız davacının tek taraflı özet raporuna dayanılarak hüküm kurulmamasına, (7) yargılama giderleri ile vekâlet ücretinin davacı üzerinde bırakılmasına karar verilmesini saygıyla arz ve talep ederiz. 30/09/2026</w:t>
      </w:r>
    </w:p>
    <w:p>
      <w:pPr>
        <w:jc w:val="right"/>
      </w:pPr>
      <w:r>
        <w:t>Davalı Vekili</w:t>
        <w:br/>
        <w:t>Av. Halil BAKIRCI</w:t>
        <w:br/>
        <w:t>Mersin Barosu Sicil No 3472</w:t>
        <w:br/>
        <w:t>(E-İMZALIDIR)</w:t>
      </w:r>
    </w:p>
    <w:p>
      <w:pPr>
        <w:keepNext/>
      </w:pPr>
      <w:r>
        <w:rPr>
          <w:b/>
        </w:rPr>
        <w:t>EKLER</w:t>
      </w:r>
    </w:p>
    <w:p>
      <w:pPr>
        <w:pStyle w:val="ListBullet"/>
      </w:pPr>
      <w:r>
        <w:t>Ek-1: İmzalı sözleşme ve delil şartını içeren sayfalar</w:t>
      </w:r>
    </w:p>
    <w:p>
      <w:pPr>
        <w:pStyle w:val="ListBullet"/>
      </w:pPr>
      <w:r>
        <w:t>Ek-2: Davacının özet kullanım raporu</w:t>
      </w:r>
    </w:p>
    <w:p>
      <w:pPr>
        <w:pStyle w:val="ListBullet"/>
      </w:pPr>
      <w:r>
        <w:t>Ek-3: KEP gönderi, teslim ve okuma delilleri</w:t>
      </w:r>
    </w:p>
    <w:p>
      <w:pPr>
        <w:pStyle w:val="ListBullet"/>
      </w:pPr>
      <w:r>
        <w:t>Ek-4: Banka hareketleri ve varsa tahsilat/iade kayıtları</w:t>
      </w:r>
    </w:p>
    <w:p>
      <w:pPr>
        <w:pStyle w:val="ListBullet"/>
      </w:pPr>
      <w:r>
        <w:t>Ek-5: Bağımsız platform dışa aktarımı ve API kayıtları</w:t>
      </w:r>
    </w:p>
    <w:p>
      <w:pPr>
        <w:pStyle w:val="ListBullet"/>
      </w:pPr>
      <w:r>
        <w:t>Ek-6: Ham veri erişim talebi ve davacı cevabı</w:t>
      </w:r>
    </w:p>
    <w:p>
      <w:pPr>
        <w:pStyle w:val="ListBullet"/>
      </w:pPr>
      <w:r>
        <w:t>Ek-7: Varsa taşıyıcı GPS ve sefer kayıtları</w:t>
      </w:r>
    </w:p>
    <w:p>
      <w:pPr>
        <w:keepNext/>
      </w:pPr>
      <w:r>
        <w:rPr>
          <w:b/>
        </w:rPr>
        <w:t>DOLDURMA KONTROLÜ — SUNULACAK NÜSHADAN ÇIKARIN</w:t>
      </w:r>
    </w:p>
    <w:p>
      <w:pPr>
        <w:pStyle w:val="ListBullet"/>
      </w:pPr>
      <w:r>
        <w:rPr>
          <w:i/>
        </w:rPr>
        <w:t>Mahkeme, esas numarası, taraf unvanları, sözleşme tarihi ve madde numarasını doğrulayın.</w:t>
      </w:r>
    </w:p>
    <w:p>
      <w:pPr>
        <w:pStyle w:val="ListBullet"/>
      </w:pPr>
      <w:r>
        <w:rPr>
          <w:i/>
        </w:rPr>
        <w:t>Delil şartını sözleşmeden aynen aktarın; gerçekte bulunmayan ifadeyi eklemeyin.</w:t>
      </w:r>
    </w:p>
    <w:p>
      <w:pPr>
        <w:pStyle w:val="ListBullet"/>
      </w:pPr>
      <w:r>
        <w:rPr>
          <w:i/>
        </w:rPr>
        <w:t>Bedel, rapor dönemi, olay sayısı, müşteri hesabı ve teknik sistem adlarını gerçek dosyaya göre değiştirin.</w:t>
      </w:r>
    </w:p>
    <w:p>
      <w:pPr>
        <w:pStyle w:val="ListBullet"/>
      </w:pPr>
      <w:r>
        <w:rPr>
          <w:i/>
        </w:rPr>
        <w:t>Müvekkilin erişemediği ham veri ve denetim unsurlarını somut belgelerle açıklayın.</w:t>
      </w:r>
    </w:p>
    <w:p>
      <w:pPr>
        <w:pStyle w:val="ListBullet"/>
      </w:pPr>
      <w:r>
        <w:rPr>
          <w:i/>
        </w:rPr>
        <w:t>Her karşı delili ispatladığı belirli vakıayla eşleştirin; bulunmayan delili listeden çıkarın.</w:t>
      </w:r>
    </w:p>
    <w:p>
      <w:pPr>
        <w:pStyle w:val="ListBullet"/>
      </w:pPr>
      <w:r>
        <w:rPr>
          <w:i/>
        </w:rPr>
        <w:t>Bilirkişiye hukuki geçerlilik değil, teknik kayıt üretimi ve bütünlüğü sorularını yöneltin.</w:t>
      </w:r>
    </w:p>
    <w:p>
      <w:pPr>
        <w:pStyle w:val="ListBullet"/>
      </w:pPr>
      <w:r>
        <w:rPr>
          <w:i/>
        </w:rPr>
        <w:t>Köşeli alanları, kullanılmayan seçenekleri ve bu kontrol bölümünü nihai nüshadan çıkarın.</w:t>
      </w:r>
    </w:p>
    <w:sectPr w:rsidR="00FC693F" w:rsidRPr="0006063C" w:rsidSect="00034616">
      <w:pgSz w:w="12240" w:h="15840"/>
      <w:pgMar w:top="691" w:right="979" w:bottom="66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16"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