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TİCARİ OLMAYAN ÖDÜNÇTE YILLIK FAİZ ÖDEMESİ TALEBİ</w:t>
      </w:r>
    </w:p>
    <w:p>
      <w:pPr>
        <w:widowControl/>
      </w:pPr>
      <w:r>
        <w:t>Muhatap ödünç alan: [Ad, adres]</w:t>
        <w:br/>
        <w:t>Talepte bulunan ödünç veren: [Ad, adres]</w:t>
        <w:br/>
        <w:t>Sözleşme: [Gerçek tarih ve işlem]</w:t>
        <w:br/>
        <w:t>Konu: TBK m.387/1 ve 388/2 kapsamında tamamlanan yıllık dönemin ödenmemiş sözleşmesel faizinin ifasıdır.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[Gerçek sözleşme] kapsamında teslim edilen para ve teslim kayıtları Ek 1'dedir. İlişkinin ticari olmayan niteliği [gerçek taraf sıfatı ve işlem amacı] ile açıklanmıştır. Faiz ödeme borcu ve oranı [gerçek hüküm] ile kararlaştırılmıştır.</w:t>
      </w:r>
    </w:p>
    <w:p>
      <w:pPr>
        <w:widowControl/>
      </w:pPr>
      <w:r>
        <w:t>2. Sözleşmede belirlenen faizin yıllık ödenmesinden farklı bir ödeme zamanı hükmü bulunmamaktadır. [Gerçek başlangıç ve bitiş] yıllık dönemi tamamlanmıştır. Kullanılan geçerli oran, anapara hareketleri, dönem ve hesap yöntemi Ek 2'de gösterilmiştir.</w:t>
      </w:r>
    </w:p>
    <w:p>
      <w:pPr>
        <w:widowControl/>
      </w:pPr>
      <w:r>
        <w:t>3. Hesaplanan dönem faizi [gerçek tutar] TL, bu döneme ilişkin işlenmiş ödemeler [gerçek tutar] TL ve talep günündeki ödenmemiş faiz bakiyesi [gerçek tutar] TL'dir. Oran kaynağı ve TBK m.88 sınırına ilişkin inceleme Ek 2'dedir. Faiz önceki faizin anaparaya eklenmesiyle hesaplanmamıştır.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m.387/1 ve 388/2 uyarınca, Ek 2'de belirtilen tamamlanmış yıllık dönem için [gerçek bakiye] TL sözleşmesel faizin ifasını talep ederim. Ödeme kaydının [gerçek iletişim] üzerinden ilgili sözleşme ve dönem bilgisiyle iletilmesini isterim. Bu başvurunun tahsil konusu yıllık faiz bakiyesidir; hesap tabanı olarak gösterilen anaparanın geri verilmesi talebi bu metinde yer almamaktadır.</w:t>
      </w:r>
    </w:p>
    <w:p>
      <w:pPr>
        <w:widowControl/>
      </w:pPr>
      <w:r>
        <w:t>Ekler: 1. Sözleşme, faiz hükmü ve teslim kayıtları. 2. Oran dayanağı, sınır kontrolü ve yıllık dönem hesabı. 3. İlgili ödeme ve mahsup kayıtları. 4. Önceki ilgili yazışmalar ve mevcut temsil belgesi.</w:t>
        <w:br/>
        <w:t>Tarih: [Gerçek tarih]</w:t>
        <w:br/>
        <w:t>Ödünç veren veya yetkili temsilci: [Ad, sıfat ve imza]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Yıllık faiz dayanağı ve hesap kontrolü</w:t>
      </w:r>
    </w:p>
    <w:p>
      <w:pPr>
        <w:widowControl/>
      </w:pPr>
      <w:r>
        <w:t>Ticari olmayan Türk lirası ödüncü: geçerli faiz anlaşması, belirlenmiş oran ve aksine ödeme zamanı bulunmayan tamamlanmış yıllık dönem. Anapara iadesi ayrı.</w:t>
      </w:r>
    </w:p>
    <w:p>
      <w:pPr>
        <w:pStyle w:val="Heading1"/>
        <w:widowControl/>
      </w:pPr>
      <w:r>
        <w:t>Ek A Faiz dayanağı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Dönem / oran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Anlaşma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faiz hükmü]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[Geçerli yıllık oran]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[M.387/1]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Teslim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hareketler]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[Anapara tabanı]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Ödeme zamanı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[Aksine hüküm yok]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[Yıllık dönem]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[M.388/2]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Tamamlanan yılın hesabı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yöntem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Ayrı 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Dönem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[Başlangıç / bitiş]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[Hesap tabanı]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[Tamamlanmış yıl]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Oran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[Kaynak / sınır kontrolü]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[Geçerli oran]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[M.88]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Ödemeler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[Dekont / mahsup]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[Aynı dönem]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Faiz bakiyesi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[Güncel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[Anapara hariç]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Kanuni koşul</w:t>
      </w:r>
    </w:p>
    <w:p>
      <w:pPr>
        <w:widowControl/>
      </w:pPr>
      <w:r>
        <w:t>M.387/1 ticari olmayan ödünçte kararlaştırılmış faiz arar. M.388/2, aksine sözleşme hükmü yoksa belirlenen faizin yıllık ödenmesini düzenler. Oran m.88 sınırıyla incelenir.</w:t>
      </w:r>
    </w:p>
    <w:p>
      <w:pPr>
        <w:pStyle w:val="Heading1"/>
        <w:widowControl/>
      </w:pPr>
      <w:r>
        <w:t>Hesabın sınırı</w:t>
      </w:r>
    </w:p>
    <w:p>
      <w:pPr>
        <w:widowControl/>
      </w:pPr>
      <w:r>
        <w:t>Önceki faiz yeni anaparaya eklenmez: m.388/3. Faiz borcunda temerrüt m.121 ile ayrı incelenir. Bu talebin konusu tamamlanan yılın ödenmemiş sözleşmesel faizidir.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m.387/1 ve 388/2; ilgili m.386, 88, 388/3 ve 121. Ticari olmayan ödünçte yıllık faiz talebi.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Ticari olmayan ödünçte yıllık faiz ödeme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