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00" w:line="252" w:lineRule="auto"/>
        <w:jc w:val="center"/>
      </w:pPr>
      <w:r>
        <w:rPr>
          <w:rFonts w:ascii="Aptos Display" w:hAnsi="Aptos Display" w:eastAsia="Aptos Display"/>
          <w:b/>
          <w:i w:val="0"/>
          <w:color w:val="1E3A8A"/>
          <w:sz w:val="36"/>
        </w:rPr>
        <w:t>TÜKETİCİ HAKEM HEYETİ KARARINA</w:t>
        <w:br/>
        <w:t>İTİRAZ DİLEKÇESİ</w:t>
      </w:r>
    </w:p>
    <w:p>
      <w:pPr>
        <w:spacing w:before="0" w:after="200" w:line="276" w:lineRule="auto"/>
        <w:jc w:val="center"/>
      </w:pPr>
      <w:r>
        <w:rPr>
          <w:rFonts w:ascii="Aptos" w:hAnsi="Aptos" w:eastAsia="Aptos"/>
          <w:b/>
          <w:i w:val="0"/>
          <w:color w:val="AA8223"/>
          <w:sz w:val="22"/>
        </w:rPr>
        <w:t>2026 Güncel Profesyonel Word Şablonu</w:t>
      </w:r>
    </w:p>
    <w:p>
      <w:pPr>
        <w:spacing w:after="200"/>
        <w:pBdr>
          <w:bottom w:val="single" w:sz="18" w:space="1" w:color="E3BD58"/>
        </w:pBd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6576"/>
      </w:tblGrid>
      <w:tr>
        <w:tc>
          <w:tcPr>
            <w:tcW w:type="dxa" w:w="2381"/>
            <w:shd w:fill="1E3A8A"/>
            <w:vAlign w:val="center"/>
            <w:tcBorders>
              <w:top w:val="single" w:sz="4" w:color="E5E7EB"/>
              <w:left w:val="single" w:sz="4" w:color="E5E7EB"/>
              <w:bottom w:val="single" w:sz="4" w:color="E5E7EB"/>
              <w:right w:val="single" w:sz="4" w:color="E5E7EB"/>
            </w:tcBorders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/>
                <w:i w:val="0"/>
                <w:color w:val="FFFFFF"/>
                <w:sz w:val="19"/>
              </w:rPr>
              <w:t>İtiraz süresi</w:t>
            </w:r>
          </w:p>
        </w:tc>
        <w:tc>
          <w:tcPr>
            <w:tcW w:type="dxa" w:w="6576"/>
            <w:shd w:fill="F5F7FA"/>
            <w:vAlign w:val="center"/>
            <w:tcBorders>
              <w:top w:val="single" w:sz="4" w:color="E5E7EB"/>
              <w:left w:val="single" w:sz="4" w:color="E5E7EB"/>
              <w:bottom w:val="single" w:sz="4" w:color="E5E7EB"/>
              <w:right w:val="single" w:sz="4" w:color="E5E7EB"/>
            </w:tcBorders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 w:val="0"/>
                <w:i w:val="0"/>
                <w:color w:val="1F2937"/>
                <w:sz w:val="19"/>
              </w:rPr>
              <w:t>Kararın usulüne uygun tebliğinden itibaren İKİ HAFTA.</w:t>
            </w:r>
          </w:p>
        </w:tc>
      </w:tr>
      <w:tr>
        <w:tc>
          <w:tcPr>
            <w:tcW w:type="dxa" w:w="2381"/>
            <w:shd w:fill="1E3A8A"/>
            <w:vAlign w:val="center"/>
            <w:tcBorders>
              <w:top w:val="single" w:sz="4" w:color="E5E7EB"/>
              <w:left w:val="single" w:sz="4" w:color="E5E7EB"/>
              <w:bottom w:val="single" w:sz="4" w:color="E5E7EB"/>
              <w:right w:val="single" w:sz="4" w:color="E5E7EB"/>
            </w:tcBorders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/>
                <w:i w:val="0"/>
                <w:color w:val="FFFFFF"/>
                <w:sz w:val="19"/>
              </w:rPr>
              <w:t>Yetkili mahkeme</w:t>
            </w:r>
          </w:p>
        </w:tc>
        <w:tc>
          <w:tcPr>
            <w:tcW w:type="dxa" w:w="6576"/>
            <w:shd w:fill="F5F7FA"/>
            <w:vAlign w:val="center"/>
            <w:tcBorders>
              <w:top w:val="single" w:sz="4" w:color="E5E7EB"/>
              <w:left w:val="single" w:sz="4" w:color="E5E7EB"/>
              <w:bottom w:val="single" w:sz="4" w:color="E5E7EB"/>
              <w:right w:val="single" w:sz="4" w:color="E5E7EB"/>
            </w:tcBorders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 w:val="0"/>
                <w:i w:val="0"/>
                <w:color w:val="1F2937"/>
                <w:sz w:val="19"/>
              </w:rPr>
              <w:t>Hakem heyetinin bulunduğu yer VEYA tüketicinin yerleşim yerindeki tüketici mahkemesi; tüketici mahkemesi yoksa asliye hukuk mahkemesi.</w:t>
            </w:r>
          </w:p>
        </w:tc>
      </w:tr>
      <w:tr>
        <w:tc>
          <w:tcPr>
            <w:tcW w:type="dxa" w:w="2381"/>
            <w:shd w:fill="1E3A8A"/>
            <w:vAlign w:val="center"/>
            <w:tcBorders>
              <w:top w:val="single" w:sz="4" w:color="E5E7EB"/>
              <w:left w:val="single" w:sz="4" w:color="E5E7EB"/>
              <w:bottom w:val="single" w:sz="4" w:color="E5E7EB"/>
              <w:right w:val="single" w:sz="4" w:color="E5E7EB"/>
            </w:tcBorders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/>
                <w:i w:val="0"/>
                <w:color w:val="FFFFFF"/>
                <w:sz w:val="19"/>
              </w:rPr>
              <w:t>Arabuluculuk</w:t>
            </w:r>
          </w:p>
        </w:tc>
        <w:tc>
          <w:tcPr>
            <w:tcW w:type="dxa" w:w="6576"/>
            <w:shd w:fill="F5F7FA"/>
            <w:vAlign w:val="center"/>
            <w:tcBorders>
              <w:top w:val="single" w:sz="4" w:color="E5E7EB"/>
              <w:left w:val="single" w:sz="4" w:color="E5E7EB"/>
              <w:bottom w:val="single" w:sz="4" w:color="E5E7EB"/>
              <w:right w:val="single" w:sz="4" w:color="E5E7EB"/>
            </w:tcBorders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 w:val="0"/>
                <w:i w:val="0"/>
                <w:color w:val="1F2937"/>
                <w:sz w:val="19"/>
              </w:rPr>
              <w:t>Tüketici hakem heyeti kararına itiraz, dava şartı arabuluculuk istisnasıdır. Önce arabulucuya başvurulmaz.</w:t>
            </w:r>
          </w:p>
        </w:tc>
      </w:tr>
      <w:tr>
        <w:tc>
          <w:tcPr>
            <w:tcW w:type="dxa" w:w="2381"/>
            <w:shd w:fill="1E3A8A"/>
            <w:vAlign w:val="center"/>
            <w:tcBorders>
              <w:top w:val="single" w:sz="4" w:color="E5E7EB"/>
              <w:left w:val="single" w:sz="4" w:color="E5E7EB"/>
              <w:bottom w:val="single" w:sz="4" w:color="E5E7EB"/>
              <w:right w:val="single" w:sz="4" w:color="E5E7EB"/>
            </w:tcBorders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/>
                <w:i w:val="0"/>
                <w:color w:val="FFFFFF"/>
                <w:sz w:val="19"/>
              </w:rPr>
              <w:t>İcraya etkisi</w:t>
            </w:r>
          </w:p>
        </w:tc>
        <w:tc>
          <w:tcPr>
            <w:tcW w:type="dxa" w:w="6576"/>
            <w:shd w:fill="F5F7FA"/>
            <w:vAlign w:val="center"/>
            <w:tcBorders>
              <w:top w:val="single" w:sz="4" w:color="E5E7EB"/>
              <w:left w:val="single" w:sz="4" w:color="E5E7EB"/>
              <w:bottom w:val="single" w:sz="4" w:color="E5E7EB"/>
              <w:right w:val="single" w:sz="4" w:color="E5E7EB"/>
            </w:tcBorders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 w:val="0"/>
                <w:i w:val="0"/>
                <w:color w:val="1F2937"/>
                <w:sz w:val="19"/>
              </w:rPr>
              <w:t>İtiraz icrayı kendiliğinden durdurmaz. Talep üzerine hâkim tedbiren icranın durdurulmasına karar verebilir.</w:t>
            </w:r>
          </w:p>
        </w:tc>
      </w:tr>
    </w:tbl>
    <w:p>
      <w:pPr>
        <w:spacing w:before="120" w:after="160" w:line="276" w:lineRule="auto"/>
      </w:pPr>
      <w:r>
        <w:rPr>
          <w:rFonts w:ascii="Aptos" w:hAnsi="Aptos" w:eastAsia="Aptos"/>
          <w:b/>
          <w:i w:val="0"/>
          <w:color w:val="1E3A8A"/>
          <w:sz w:val="19"/>
        </w:rPr>
        <w:t xml:space="preserve">Kullanım notu: </w:t>
      </w:r>
      <w:r>
        <w:rPr>
          <w:rFonts w:ascii="Aptos" w:hAnsi="Aptos" w:eastAsia="Aptos"/>
          <w:b w:val="0"/>
          <w:i w:val="0"/>
          <w:color w:val="4B5563"/>
          <w:sz w:val="19"/>
        </w:rPr>
        <w:t>Köşeli parantez içindeki alanları gerçek dosya bilgileriyle değiştirin. Süre hesabını tebliğ belgesi üzerinden yapın.</w:t>
      </w:r>
    </w:p>
    <w:p>
      <w:r>
        <w:br w:type="page"/>
      </w:r>
    </w:p>
    <w:p>
      <w:pPr>
        <w:spacing w:before="0" w:after="240" w:line="252" w:lineRule="auto"/>
        <w:jc w:val="center"/>
      </w:pPr>
      <w:r>
        <w:rPr>
          <w:rFonts w:ascii="Aptos" w:hAnsi="Aptos" w:eastAsia="Aptos"/>
          <w:b/>
          <w:i w:val="0"/>
          <w:color w:val="1F2937"/>
          <w:sz w:val="24"/>
        </w:rPr>
        <w:t>[YETKİLİ YER] NÖBETÇİ TÜKETİCİ MAHKEMESİ</w:t>
        <w:br/>
        <w:t>SAYIN HÂKİMLİĞİNE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6633"/>
      </w:tblGrid>
      <w:tr>
        <w:tc>
          <w:tcPr>
            <w:tcW w:type="dxa" w:w="2324"/>
            <w:shd w:fill="F5F7FA"/>
            <w:vAlign w:val="center"/>
            <w:tcBorders>
              <w:bottom w:val="single" w:sz="4" w:color="E5E7EB"/>
            </w:tcBorders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/>
                <w:i w:val="0"/>
                <w:color w:val="1E3A8A"/>
                <w:sz w:val="19"/>
              </w:rPr>
              <w:t>İTİRAZ EDEN / DAVACI</w:t>
            </w:r>
          </w:p>
        </w:tc>
        <w:tc>
          <w:tcPr>
            <w:tcW w:type="dxa" w:w="6633"/>
            <w:vAlign w:val="center"/>
            <w:tcBorders>
              <w:bottom w:val="single" w:sz="4" w:color="E5E7EB"/>
            </w:tcBorders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 w:val="0"/>
                <w:i w:val="0"/>
                <w:color w:val="1F2937"/>
                <w:sz w:val="19"/>
              </w:rPr>
              <w:t>[AD SOYAD / UNVAN – T.C. / VKN – ADRES]</w:t>
            </w:r>
          </w:p>
        </w:tc>
      </w:tr>
      <w:tr>
        <w:tc>
          <w:tcPr>
            <w:tcW w:type="dxa" w:w="2324"/>
            <w:shd w:fill="F5F7FA"/>
            <w:vAlign w:val="center"/>
            <w:tcBorders>
              <w:bottom w:val="single" w:sz="4" w:color="E5E7EB"/>
            </w:tcBorders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/>
                <w:i w:val="0"/>
                <w:color w:val="1E3A8A"/>
                <w:sz w:val="19"/>
              </w:rPr>
              <w:t>VEKİLİ</w:t>
            </w:r>
          </w:p>
        </w:tc>
        <w:tc>
          <w:tcPr>
            <w:tcW w:type="dxa" w:w="6633"/>
            <w:vAlign w:val="center"/>
            <w:tcBorders>
              <w:bottom w:val="single" w:sz="4" w:color="E5E7EB"/>
            </w:tcBorders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 w:val="0"/>
                <w:i w:val="0"/>
                <w:color w:val="1F2937"/>
                <w:sz w:val="19"/>
              </w:rPr>
              <w:t>Av. Halil Bakırcı – Bakırcı &amp; Keskin Hukuk Bürosu</w:t>
            </w:r>
          </w:p>
        </w:tc>
      </w:tr>
      <w:tr>
        <w:tc>
          <w:tcPr>
            <w:tcW w:type="dxa" w:w="2324"/>
            <w:shd w:fill="F5F7FA"/>
            <w:vAlign w:val="center"/>
            <w:tcBorders>
              <w:bottom w:val="single" w:sz="4" w:color="E5E7EB"/>
            </w:tcBorders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/>
                <w:i w:val="0"/>
                <w:color w:val="1E3A8A"/>
                <w:sz w:val="19"/>
              </w:rPr>
              <w:t>KARŞI TARAF / DAVALI</w:t>
            </w:r>
          </w:p>
        </w:tc>
        <w:tc>
          <w:tcPr>
            <w:tcW w:type="dxa" w:w="6633"/>
            <w:vAlign w:val="center"/>
            <w:tcBorders>
              <w:bottom w:val="single" w:sz="4" w:color="E5E7EB"/>
            </w:tcBorders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 w:val="0"/>
                <w:i w:val="0"/>
                <w:color w:val="1F2937"/>
                <w:sz w:val="19"/>
              </w:rPr>
              <w:t>[AD SOYAD / UNVAN – ADRES]</w:t>
            </w:r>
          </w:p>
        </w:tc>
      </w:tr>
      <w:tr>
        <w:tc>
          <w:tcPr>
            <w:tcW w:type="dxa" w:w="2324"/>
            <w:shd w:fill="F5F7FA"/>
            <w:vAlign w:val="center"/>
            <w:tcBorders>
              <w:bottom w:val="single" w:sz="4" w:color="E5E7EB"/>
            </w:tcBorders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/>
                <w:i w:val="0"/>
                <w:color w:val="1E3A8A"/>
                <w:sz w:val="19"/>
              </w:rPr>
              <w:t>KARAR</w:t>
            </w:r>
          </w:p>
        </w:tc>
        <w:tc>
          <w:tcPr>
            <w:tcW w:type="dxa" w:w="6633"/>
            <w:vAlign w:val="center"/>
            <w:tcBorders>
              <w:bottom w:val="single" w:sz="4" w:color="E5E7EB"/>
            </w:tcBorders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 w:val="0"/>
                <w:i w:val="0"/>
                <w:color w:val="1F2937"/>
                <w:sz w:val="19"/>
              </w:rPr>
              <w:t>[... TÜKETİCİ HAKEM HEYETİ] – [TARİH] – [DOSYA/KARAR NO]</w:t>
            </w:r>
          </w:p>
        </w:tc>
      </w:tr>
      <w:tr>
        <w:tc>
          <w:tcPr>
            <w:tcW w:type="dxa" w:w="2324"/>
            <w:shd w:fill="F5F7FA"/>
            <w:vAlign w:val="center"/>
            <w:tcBorders>
              <w:bottom w:val="single" w:sz="4" w:color="E5E7EB"/>
            </w:tcBorders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/>
                <w:i w:val="0"/>
                <w:color w:val="1E3A8A"/>
                <w:sz w:val="19"/>
              </w:rPr>
              <w:t>TEBLİĞ TARİHİ</w:t>
            </w:r>
          </w:p>
        </w:tc>
        <w:tc>
          <w:tcPr>
            <w:tcW w:type="dxa" w:w="6633"/>
            <w:vAlign w:val="center"/>
            <w:tcBorders>
              <w:bottom w:val="single" w:sz="4" w:color="E5E7EB"/>
            </w:tcBorders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 w:val="0"/>
                <w:i w:val="0"/>
                <w:color w:val="1F2937"/>
                <w:sz w:val="19"/>
              </w:rPr>
              <w:t>[GG.AA.YYYY]</w:t>
            </w:r>
          </w:p>
        </w:tc>
      </w:tr>
      <w:tr>
        <w:tc>
          <w:tcPr>
            <w:tcW w:type="dxa" w:w="2324"/>
            <w:shd w:fill="F5F7FA"/>
            <w:vAlign w:val="center"/>
            <w:tcBorders>
              <w:bottom w:val="single" w:sz="4" w:color="E5E7EB"/>
            </w:tcBorders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/>
                <w:i w:val="0"/>
                <w:color w:val="1E3A8A"/>
                <w:sz w:val="19"/>
              </w:rPr>
              <w:t>DAVA KONUSU</w:t>
            </w:r>
          </w:p>
        </w:tc>
        <w:tc>
          <w:tcPr>
            <w:tcW w:type="dxa" w:w="6633"/>
            <w:vAlign w:val="center"/>
            <w:tcBorders>
              <w:bottom w:val="single" w:sz="4" w:color="E5E7EB"/>
            </w:tcBorders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 w:val="0"/>
                <w:i w:val="0"/>
                <w:color w:val="1F2937"/>
                <w:sz w:val="19"/>
              </w:rPr>
              <w:t>Tüketici Hakem Heyeti kararına 6502 sayılı Kanun m.70/3 uyarınca itiraz ile kararın kaldırılması/değiştirilmesi talebidir.</w:t>
            </w:r>
          </w:p>
        </w:tc>
      </w:tr>
      <w:tr>
        <w:tc>
          <w:tcPr>
            <w:tcW w:type="dxa" w:w="2324"/>
            <w:shd w:fill="F5F7FA"/>
            <w:vAlign w:val="center"/>
            <w:tcBorders>
              <w:bottom w:val="single" w:sz="4" w:color="E5E7EB"/>
            </w:tcBorders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/>
                <w:i w:val="0"/>
                <w:color w:val="1E3A8A"/>
                <w:sz w:val="19"/>
              </w:rPr>
              <w:t>VARSA TEDBİR TALEBİ</w:t>
            </w:r>
          </w:p>
        </w:tc>
        <w:tc>
          <w:tcPr>
            <w:tcW w:type="dxa" w:w="6633"/>
            <w:vAlign w:val="center"/>
            <w:tcBorders>
              <w:bottom w:val="single" w:sz="4" w:color="E5E7EB"/>
            </w:tcBorders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 w:val="0"/>
                <w:i w:val="0"/>
                <w:color w:val="1F2937"/>
                <w:sz w:val="19"/>
              </w:rPr>
              <w:t>Hakem heyeti kararının icrasının yargılama sonuna kadar tedbiren durdurulması talebidir. [GEREKÇE VARSA SOMUTLAŞTIRIN]</w:t>
            </w:r>
          </w:p>
        </w:tc>
      </w:tr>
    </w:tbl>
    <w:p>
      <w:pPr>
        <w:spacing w:before="200" w:after="100" w:line="276" w:lineRule="auto"/>
      </w:pPr>
      <w:r>
        <w:rPr>
          <w:rFonts w:ascii="Aptos" w:hAnsi="Aptos" w:eastAsia="Aptos"/>
          <w:b/>
          <w:i w:val="0"/>
          <w:color w:val="1E3A8A"/>
          <w:sz w:val="24"/>
        </w:rPr>
        <w:t>AÇIKLAMALAR</w:t>
      </w:r>
    </w:p>
    <w:p>
      <w:pPr>
        <w:spacing w:before="0" w:after="140" w:line="276" w:lineRule="auto"/>
        <w:ind w:firstLine="0" w:left="0"/>
      </w:pPr>
      <w:r>
        <w:rPr>
          <w:rFonts w:ascii="Aptos" w:hAnsi="Aptos" w:eastAsia="Aptos"/>
          <w:b/>
          <w:i w:val="0"/>
          <w:color w:val="1F2937"/>
          <w:sz w:val="22"/>
        </w:rPr>
        <w:t xml:space="preserve">1. </w:t>
      </w:r>
      <w:r>
        <w:rPr>
          <w:rFonts w:ascii="Aptos" w:hAnsi="Aptos" w:eastAsia="Aptos"/>
          <w:b w:val="0"/>
          <w:i w:val="0"/>
          <w:color w:val="1F2937"/>
          <w:sz w:val="22"/>
        </w:rPr>
        <w:t xml:space="preserve">[... TÜKETİCİ HAKEM HEYETİ] tarafından [KARAR TARİHİ] tarih ve [KARAR NO] sayılı karar verilmiştir. Karar tarafımıza </w:t>
      </w:r>
      <w:r>
        <w:rPr>
          <w:rFonts w:ascii="Aptos" w:hAnsi="Aptos" w:eastAsia="Aptos"/>
          <w:b/>
          <w:i w:val="0"/>
          <w:color w:val="1F2937"/>
          <w:sz w:val="22"/>
        </w:rPr>
        <w:t>[TEBLİĞ TARİHİ]</w:t>
      </w:r>
      <w:r>
        <w:rPr>
          <w:rFonts w:ascii="Aptos" w:hAnsi="Aptos" w:eastAsia="Aptos"/>
          <w:b w:val="0"/>
          <w:i w:val="0"/>
          <w:color w:val="1F2937"/>
          <w:sz w:val="22"/>
        </w:rPr>
        <w:t xml:space="preserve"> tarihinde usulüne uygun olarak tebliğ edilmiştir. İşbu itiraz, kanuni iki haftalık süre içinde sunulmaktadır.</w:t>
      </w:r>
    </w:p>
    <w:p>
      <w:pPr>
        <w:spacing w:before="0" w:after="140" w:line="276" w:lineRule="auto"/>
        <w:ind w:firstLine="0" w:left="0"/>
      </w:pPr>
      <w:r>
        <w:rPr>
          <w:rFonts w:ascii="Aptos" w:hAnsi="Aptos" w:eastAsia="Aptos"/>
          <w:b/>
          <w:i w:val="0"/>
          <w:color w:val="1F2937"/>
          <w:sz w:val="22"/>
        </w:rPr>
        <w:t xml:space="preserve">2. </w:t>
      </w:r>
      <w:r>
        <w:rPr>
          <w:rFonts w:ascii="Aptos" w:hAnsi="Aptos" w:eastAsia="Aptos"/>
          <w:b w:val="0"/>
          <w:i w:val="0"/>
          <w:color w:val="1F2937"/>
          <w:sz w:val="22"/>
        </w:rPr>
        <w:t xml:space="preserve">Hakem heyeti kararında uyuşmazlığın maddi vakıaları ve hukuki niteliği hatalı değerlendirilmiştir. Karardaki hukuka aykırılık şu noktadadır: </w:t>
      </w:r>
      <w:r>
        <w:rPr>
          <w:rFonts w:ascii="Aptos" w:hAnsi="Aptos" w:eastAsia="Aptos"/>
          <w:b/>
          <w:i w:val="0"/>
          <w:color w:val="1F2937"/>
          <w:sz w:val="22"/>
        </w:rPr>
        <w:t>[YANLIŞ HUKUKİ NİTELENDİRME / EKSİK İNCELEME / DELİLİN DEĞERLENDİRİLMEMESİ / HESAP HATASI]</w:t>
      </w:r>
      <w:r>
        <w:rPr>
          <w:rFonts w:ascii="Aptos" w:hAnsi="Aptos" w:eastAsia="Aptos"/>
          <w:b w:val="0"/>
          <w:i w:val="0"/>
          <w:color w:val="1F2937"/>
          <w:sz w:val="22"/>
        </w:rPr>
        <w:t>.</w:t>
      </w:r>
    </w:p>
    <w:p>
      <w:pPr>
        <w:spacing w:before="0" w:after="140" w:line="276" w:lineRule="auto"/>
        <w:ind w:firstLine="0" w:left="0"/>
      </w:pPr>
      <w:r>
        <w:rPr>
          <w:rFonts w:ascii="Aptos" w:hAnsi="Aptos" w:eastAsia="Aptos"/>
          <w:b/>
          <w:i w:val="0"/>
          <w:color w:val="1F2937"/>
          <w:sz w:val="22"/>
        </w:rPr>
        <w:t xml:space="preserve">3. </w:t>
      </w:r>
      <w:r>
        <w:rPr>
          <w:rFonts w:ascii="Aptos" w:hAnsi="Aptos" w:eastAsia="Aptos"/>
          <w:b w:val="0"/>
          <w:i w:val="0"/>
          <w:color w:val="1F2937"/>
          <w:sz w:val="22"/>
        </w:rPr>
        <w:t xml:space="preserve">Dosyada bulunan </w:t>
      </w:r>
      <w:r>
        <w:rPr>
          <w:rFonts w:ascii="Aptos" w:hAnsi="Aptos" w:eastAsia="Aptos"/>
          <w:b/>
          <w:i w:val="0"/>
          <w:color w:val="1F2937"/>
          <w:sz w:val="22"/>
        </w:rPr>
        <w:t>[FATURA / SÖZLEŞME / SERVİS RAPORU / YAZIŞMA / ÖDEME KAYDI / FOTOĞRAF]</w:t>
      </w:r>
      <w:r>
        <w:rPr>
          <w:rFonts w:ascii="Aptos" w:hAnsi="Aptos" w:eastAsia="Aptos"/>
          <w:b w:val="0"/>
          <w:i w:val="0"/>
          <w:color w:val="1F2937"/>
          <w:sz w:val="22"/>
        </w:rPr>
        <w:t xml:space="preserve"> kararın sonucunu doğrudan etkileyen niteliktedir. Bu delilin içeriği [KISA VE SOMUT AÇIKLAMA] olup, hakem heyeti kararında gereği gibi değerlendirilmemiştir.</w:t>
      </w:r>
    </w:p>
    <w:p>
      <w:pPr>
        <w:spacing w:before="0" w:after="140" w:line="276" w:lineRule="auto"/>
        <w:ind w:firstLine="0" w:left="0"/>
      </w:pPr>
      <w:r>
        <w:rPr>
          <w:rFonts w:ascii="Aptos" w:hAnsi="Aptos" w:eastAsia="Aptos"/>
          <w:b/>
          <w:i w:val="0"/>
          <w:color w:val="1F2937"/>
          <w:sz w:val="22"/>
        </w:rPr>
        <w:t xml:space="preserve">4. </w:t>
      </w:r>
      <w:r>
        <w:rPr>
          <w:rFonts w:ascii="Aptos" w:hAnsi="Aptos" w:eastAsia="Aptos"/>
          <w:b w:val="0"/>
          <w:i w:val="0"/>
          <w:color w:val="1F2937"/>
          <w:sz w:val="22"/>
        </w:rPr>
        <w:t xml:space="preserve">Uyuşmazlık konusu işlem bakımından uygulanması gereken mevzuat </w:t>
      </w:r>
      <w:r>
        <w:rPr>
          <w:rFonts w:ascii="Aptos" w:hAnsi="Aptos" w:eastAsia="Aptos"/>
          <w:b/>
          <w:i w:val="0"/>
          <w:color w:val="1F2937"/>
          <w:sz w:val="22"/>
        </w:rPr>
        <w:t>[6502 m. ... / ilgili yönetmelik / sözleşme hükmü]</w:t>
      </w:r>
      <w:r>
        <w:rPr>
          <w:rFonts w:ascii="Aptos" w:hAnsi="Aptos" w:eastAsia="Aptos"/>
          <w:b w:val="0"/>
          <w:i w:val="0"/>
          <w:color w:val="1F2937"/>
          <w:sz w:val="22"/>
        </w:rPr>
        <w:t xml:space="preserve"> hükümleridir. Hakem heyeti kararı bu hükümlerin somut olaya uygulanmasında [HATA] içermektedir.</w:t>
      </w:r>
    </w:p>
    <w:p>
      <w:pPr>
        <w:spacing w:before="0" w:after="140" w:line="276" w:lineRule="auto"/>
        <w:ind w:firstLine="0" w:left="0"/>
      </w:pPr>
      <w:r>
        <w:rPr>
          <w:rFonts w:ascii="Aptos" w:hAnsi="Aptos" w:eastAsia="Aptos"/>
          <w:b/>
          <w:i w:val="0"/>
          <w:color w:val="1F2937"/>
          <w:sz w:val="22"/>
        </w:rPr>
        <w:t xml:space="preserve">5. </w:t>
      </w:r>
      <w:r>
        <w:rPr>
          <w:rFonts w:ascii="Aptos" w:hAnsi="Aptos" w:eastAsia="Aptos"/>
          <w:b w:val="0"/>
          <w:i w:val="0"/>
          <w:color w:val="1F2937"/>
          <w:sz w:val="22"/>
        </w:rPr>
        <w:t xml:space="preserve">Karşı tarafın hakem heyeti dosyasındaki </w:t>
      </w:r>
      <w:r>
        <w:rPr>
          <w:rFonts w:ascii="Aptos" w:hAnsi="Aptos" w:eastAsia="Aptos"/>
          <w:b/>
          <w:i w:val="0"/>
          <w:color w:val="1F2937"/>
          <w:sz w:val="22"/>
        </w:rPr>
        <w:t>[BEYAN / SAVUNMA]</w:t>
      </w:r>
      <w:r>
        <w:rPr>
          <w:rFonts w:ascii="Aptos" w:hAnsi="Aptos" w:eastAsia="Aptos"/>
          <w:b w:val="0"/>
          <w:i w:val="0"/>
          <w:color w:val="1F2937"/>
          <w:sz w:val="22"/>
        </w:rPr>
        <w:t xml:space="preserve"> içeriği [BELGE / TARİH / TEKNİK RAPOR] ile çelişmektedir. Çelişki objektif kayıtlarla ortaya konulmuştur.</w:t>
      </w:r>
    </w:p>
    <w:p>
      <w:pPr>
        <w:spacing w:before="0" w:after="140" w:line="276" w:lineRule="auto"/>
        <w:ind w:firstLine="0" w:left="0"/>
      </w:pPr>
      <w:r>
        <w:rPr>
          <w:rFonts w:ascii="Aptos" w:hAnsi="Aptos" w:eastAsia="Aptos"/>
          <w:b/>
          <w:i w:val="0"/>
          <w:color w:val="1F2937"/>
          <w:sz w:val="22"/>
        </w:rPr>
        <w:t xml:space="preserve">6. </w:t>
      </w:r>
      <w:r>
        <w:rPr>
          <w:rFonts w:ascii="Aptos" w:hAnsi="Aptos" w:eastAsia="Aptos"/>
          <w:b w:val="0"/>
          <w:i w:val="0"/>
          <w:color w:val="1F2937"/>
          <w:sz w:val="22"/>
        </w:rPr>
        <w:t>Uyuşmazlık teknik inceleme gerektiriyorsa bilirkişi incelemesi yaptırılması; ilgili hakem heyeti dosyasının ve gerekli kurum kayıtlarının celbiyle bütün delillerin birlikte değerlendirilmesi gerekir.</w:t>
      </w:r>
    </w:p>
    <w:p>
      <w:pPr>
        <w:spacing w:before="0" w:after="140" w:line="276" w:lineRule="auto"/>
        <w:ind w:firstLine="0" w:left="0"/>
      </w:pPr>
      <w:r>
        <w:rPr>
          <w:rFonts w:ascii="Aptos" w:hAnsi="Aptos" w:eastAsia="Aptos"/>
          <w:b/>
          <w:i w:val="0"/>
          <w:color w:val="1F2937"/>
          <w:sz w:val="22"/>
        </w:rPr>
        <w:t xml:space="preserve">7. </w:t>
      </w:r>
      <w:r>
        <w:rPr>
          <w:rFonts w:ascii="Aptos" w:hAnsi="Aptos" w:eastAsia="Aptos"/>
          <w:b w:val="0"/>
          <w:i w:val="0"/>
          <w:color w:val="1F2937"/>
          <w:sz w:val="22"/>
        </w:rPr>
        <w:t>6502 sayılı Kanun m.70/3 uyarınca itiraz, hakem heyetinin veya tüketicinin yerleşim yerinin bulunduğu yerdeki tüketici mahkemesine yapılır. Hakem heyeti kararına itiraz dava şartı arabuluculuk istisnasıdır. Bu nedenle işbu dava bakımından arabuluculuk son tutanağı aranmaz.</w:t>
      </w:r>
    </w:p>
    <w:p>
      <w:pPr>
        <w:spacing w:before="0" w:after="140" w:line="276" w:lineRule="auto"/>
        <w:ind w:firstLine="0" w:left="0"/>
      </w:pPr>
      <w:r>
        <w:rPr>
          <w:rFonts w:ascii="Aptos" w:hAnsi="Aptos" w:eastAsia="Aptos"/>
          <w:b/>
          <w:i w:val="0"/>
          <w:color w:val="1F2937"/>
          <w:sz w:val="22"/>
        </w:rPr>
        <w:t xml:space="preserve">8. </w:t>
      </w:r>
      <w:r>
        <w:rPr>
          <w:rFonts w:ascii="Aptos" w:hAnsi="Aptos" w:eastAsia="Aptos"/>
          <w:b w:val="0"/>
          <w:i w:val="0"/>
          <w:color w:val="1F2937"/>
          <w:sz w:val="22"/>
        </w:rPr>
        <w:t>İtiraz hakem heyeti kararının icrasını kendiliğinden durdurmaz. Somut dosyada icranın sürmesi telafisi güç sonuç doğuracaksa ve şartları varsa, hakem heyeti kararının icrasının tedbiren durdurulmasına karar verilmesi talep edilmektedir.</w:t>
      </w:r>
    </w:p>
    <w:p>
      <w:pPr>
        <w:spacing w:before="200" w:after="100" w:line="276" w:lineRule="auto"/>
      </w:pPr>
      <w:r>
        <w:rPr>
          <w:rFonts w:ascii="Aptos" w:hAnsi="Aptos" w:eastAsia="Aptos"/>
          <w:b/>
          <w:i w:val="0"/>
          <w:color w:val="1E3A8A"/>
          <w:sz w:val="24"/>
        </w:rPr>
        <w:t>HUKUKİ NEDENLER</w:t>
      </w:r>
    </w:p>
    <w:p>
      <w:pPr>
        <w:spacing w:before="0" w:after="160" w:line="276" w:lineRule="auto"/>
      </w:pPr>
      <w:r>
        <w:t>6502 sayılı Tüketicinin Korunması Hakkında Kanun m.70 ve m.73/A; 6100 sayılı Hukuk Muhakemeleri Kanunu; ilgili ikincil mevzuat ve somut uyuşmazlığa uygulanacak diğer mevzuat.</w:t>
      </w:r>
    </w:p>
    <w:p>
      <w:pPr>
        <w:spacing w:before="200" w:after="100" w:line="276" w:lineRule="auto"/>
      </w:pPr>
      <w:r>
        <w:rPr>
          <w:rFonts w:ascii="Aptos" w:hAnsi="Aptos" w:eastAsia="Aptos"/>
          <w:b/>
          <w:i w:val="0"/>
          <w:color w:val="1E3A8A"/>
          <w:sz w:val="24"/>
        </w:rPr>
        <w:t>DELİLLER</w:t>
      </w:r>
    </w:p>
    <w:p>
      <w:pPr>
        <w:spacing w:before="0" w:after="60" w:line="276" w:lineRule="auto"/>
        <w:ind w:left="283" w:hanging="142"/>
      </w:pPr>
      <w:r>
        <w:rPr>
          <w:rFonts w:ascii="Aptos" w:hAnsi="Aptos" w:eastAsia="Aptos"/>
          <w:b/>
          <w:i w:val="0"/>
          <w:color w:val="1E3A8A"/>
          <w:sz w:val="22"/>
        </w:rPr>
        <w:t xml:space="preserve">• </w:t>
      </w:r>
      <w:r>
        <w:rPr>
          <w:rFonts w:ascii="Aptos" w:hAnsi="Aptos" w:eastAsia="Aptos"/>
          <w:b w:val="0"/>
          <w:i w:val="0"/>
          <w:color w:val="1F2937"/>
          <w:sz w:val="22"/>
        </w:rPr>
        <w:t>Tüketici Hakem Heyeti kararı ve hakem heyeti işlem dosyası</w:t>
      </w:r>
    </w:p>
    <w:p>
      <w:pPr>
        <w:spacing w:before="0" w:after="60" w:line="276" w:lineRule="auto"/>
        <w:ind w:left="283" w:hanging="142"/>
      </w:pPr>
      <w:r>
        <w:rPr>
          <w:rFonts w:ascii="Aptos" w:hAnsi="Aptos" w:eastAsia="Aptos"/>
          <w:b/>
          <w:i w:val="0"/>
          <w:color w:val="1E3A8A"/>
          <w:sz w:val="22"/>
        </w:rPr>
        <w:t xml:space="preserve">• </w:t>
      </w:r>
      <w:r>
        <w:rPr>
          <w:rFonts w:ascii="Aptos" w:hAnsi="Aptos" w:eastAsia="Aptos"/>
          <w:b w:val="0"/>
          <w:i w:val="0"/>
          <w:color w:val="1F2937"/>
          <w:sz w:val="22"/>
        </w:rPr>
        <w:t>Kararın tebliğ belgesi / elektronik tebligat kaydı</w:t>
      </w:r>
    </w:p>
    <w:p>
      <w:pPr>
        <w:spacing w:before="0" w:after="60" w:line="276" w:lineRule="auto"/>
        <w:ind w:left="283" w:hanging="142"/>
      </w:pPr>
      <w:r>
        <w:rPr>
          <w:rFonts w:ascii="Aptos" w:hAnsi="Aptos" w:eastAsia="Aptos"/>
          <w:b/>
          <w:i w:val="0"/>
          <w:color w:val="1E3A8A"/>
          <w:sz w:val="22"/>
        </w:rPr>
        <w:t xml:space="preserve">• </w:t>
      </w:r>
      <w:r>
        <w:rPr>
          <w:rFonts w:ascii="Aptos" w:hAnsi="Aptos" w:eastAsia="Aptos"/>
          <w:b w:val="0"/>
          <w:i w:val="0"/>
          <w:color w:val="1F2937"/>
          <w:sz w:val="22"/>
        </w:rPr>
        <w:t>Sözleşme, fatura, sipariş ve ödeme kayıtları</w:t>
      </w:r>
    </w:p>
    <w:p>
      <w:pPr>
        <w:spacing w:before="0" w:after="60" w:line="276" w:lineRule="auto"/>
        <w:ind w:left="283" w:hanging="142"/>
      </w:pPr>
      <w:r>
        <w:rPr>
          <w:rFonts w:ascii="Aptos" w:hAnsi="Aptos" w:eastAsia="Aptos"/>
          <w:b/>
          <w:i w:val="0"/>
          <w:color w:val="1E3A8A"/>
          <w:sz w:val="22"/>
        </w:rPr>
        <w:t xml:space="preserve">• </w:t>
      </w:r>
      <w:r>
        <w:rPr>
          <w:rFonts w:ascii="Aptos" w:hAnsi="Aptos" w:eastAsia="Aptos"/>
          <w:b w:val="0"/>
          <w:i w:val="0"/>
          <w:color w:val="1F2937"/>
          <w:sz w:val="22"/>
        </w:rPr>
        <w:t>Servis / ekspertiz / teknik raporlar</w:t>
      </w:r>
    </w:p>
    <w:p>
      <w:pPr>
        <w:spacing w:before="0" w:after="60" w:line="276" w:lineRule="auto"/>
        <w:ind w:left="283" w:hanging="142"/>
      </w:pPr>
      <w:r>
        <w:rPr>
          <w:rFonts w:ascii="Aptos" w:hAnsi="Aptos" w:eastAsia="Aptos"/>
          <w:b/>
          <w:i w:val="0"/>
          <w:color w:val="1E3A8A"/>
          <w:sz w:val="22"/>
        </w:rPr>
        <w:t xml:space="preserve">• </w:t>
      </w:r>
      <w:r>
        <w:rPr>
          <w:rFonts w:ascii="Aptos" w:hAnsi="Aptos" w:eastAsia="Aptos"/>
          <w:b w:val="0"/>
          <w:i w:val="0"/>
          <w:color w:val="1F2937"/>
          <w:sz w:val="22"/>
        </w:rPr>
        <w:t>Taraf yazışmaları, e-posta, KEP ve platform kayıtları</w:t>
      </w:r>
    </w:p>
    <w:p>
      <w:pPr>
        <w:spacing w:before="0" w:after="60" w:line="276" w:lineRule="auto"/>
        <w:ind w:left="283" w:hanging="142"/>
      </w:pPr>
      <w:r>
        <w:rPr>
          <w:rFonts w:ascii="Aptos" w:hAnsi="Aptos" w:eastAsia="Aptos"/>
          <w:b/>
          <w:i w:val="0"/>
          <w:color w:val="1E3A8A"/>
          <w:sz w:val="22"/>
        </w:rPr>
        <w:t xml:space="preserve">• </w:t>
      </w:r>
      <w:r>
        <w:rPr>
          <w:rFonts w:ascii="Aptos" w:hAnsi="Aptos" w:eastAsia="Aptos"/>
          <w:b w:val="0"/>
          <w:i w:val="0"/>
          <w:color w:val="1F2937"/>
          <w:sz w:val="22"/>
        </w:rPr>
        <w:t>Fotoğraf, video ve diğer hukuka uygun elektronik deliller</w:t>
      </w:r>
    </w:p>
    <w:p>
      <w:pPr>
        <w:spacing w:before="0" w:after="60" w:line="276" w:lineRule="auto"/>
        <w:ind w:left="283" w:hanging="142"/>
      </w:pPr>
      <w:r>
        <w:rPr>
          <w:rFonts w:ascii="Aptos" w:hAnsi="Aptos" w:eastAsia="Aptos"/>
          <w:b/>
          <w:i w:val="0"/>
          <w:color w:val="1E3A8A"/>
          <w:sz w:val="22"/>
        </w:rPr>
        <w:t xml:space="preserve">• </w:t>
      </w:r>
      <w:r>
        <w:rPr>
          <w:rFonts w:ascii="Aptos" w:hAnsi="Aptos" w:eastAsia="Aptos"/>
          <w:b w:val="0"/>
          <w:i w:val="0"/>
          <w:color w:val="1F2937"/>
          <w:sz w:val="22"/>
        </w:rPr>
        <w:t>Bilirkişi incelemesi, kurum kayıtları ve gerektiğinde diğer yasal deliller</w:t>
      </w:r>
    </w:p>
    <w:p>
      <w:pPr>
        <w:spacing w:before="200" w:after="100" w:line="276" w:lineRule="auto"/>
      </w:pPr>
      <w:r>
        <w:rPr>
          <w:rFonts w:ascii="Aptos" w:hAnsi="Aptos" w:eastAsia="Aptos"/>
          <w:b/>
          <w:i w:val="0"/>
          <w:color w:val="1E3A8A"/>
          <w:sz w:val="24"/>
        </w:rPr>
        <w:t>SONUÇ VE İSTEM</w:t>
      </w:r>
    </w:p>
    <w:p>
      <w:pPr>
        <w:spacing w:before="0" w:after="140" w:line="276" w:lineRule="auto"/>
      </w:pPr>
      <w:r>
        <w:t>Yukarıda arz ve izah edilen nedenlerle ve Mahkemenizce re’sen gözetilecek hususlar saklı kalmak kaydıyla;</w:t>
      </w:r>
    </w:p>
    <w:p>
      <w:pPr>
        <w:spacing w:before="0" w:after="100" w:line="276" w:lineRule="auto"/>
        <w:ind w:left="340" w:hanging="340"/>
      </w:pPr>
      <w:r>
        <w:rPr>
          <w:rFonts w:ascii="Aptos" w:hAnsi="Aptos" w:eastAsia="Aptos"/>
          <w:b/>
          <w:i w:val="0"/>
          <w:color w:val="1E3A8A"/>
          <w:sz w:val="22"/>
        </w:rPr>
        <w:t xml:space="preserve">1. </w:t>
      </w:r>
      <w:r>
        <w:rPr>
          <w:rFonts w:ascii="Aptos" w:hAnsi="Aptos" w:eastAsia="Aptos"/>
          <w:b w:val="0"/>
          <w:i w:val="0"/>
          <w:color w:val="1F2937"/>
          <w:sz w:val="22"/>
        </w:rPr>
        <w:t>[... TÜKETİCİ HAKEM HEYETİ] tarafından verilen [TARİH/KARAR NO] sayılı karara yönelik itirazımızın KABULÜNE,</w:t>
      </w:r>
    </w:p>
    <w:p>
      <w:pPr>
        <w:spacing w:before="0" w:after="100" w:line="276" w:lineRule="auto"/>
        <w:ind w:left="340" w:hanging="340"/>
      </w:pPr>
      <w:r>
        <w:rPr>
          <w:rFonts w:ascii="Aptos" w:hAnsi="Aptos" w:eastAsia="Aptos"/>
          <w:b/>
          <w:i w:val="0"/>
          <w:color w:val="1E3A8A"/>
          <w:sz w:val="22"/>
        </w:rPr>
        <w:t xml:space="preserve">2. </w:t>
      </w:r>
      <w:r>
        <w:rPr>
          <w:rFonts w:ascii="Aptos" w:hAnsi="Aptos" w:eastAsia="Aptos"/>
          <w:b w:val="0"/>
          <w:i w:val="0"/>
          <w:color w:val="1F2937"/>
          <w:sz w:val="22"/>
        </w:rPr>
        <w:t>Hakem heyeti kararının somut itiraz nedenleri doğrultusunda KALDIRILMASINA / DEĞİŞTİRİLMESİNE ve uyuşmazlığın esası hakkında talebimiz doğrultusunda karar verilmesine,</w:t>
      </w:r>
    </w:p>
    <w:p>
      <w:pPr>
        <w:spacing w:before="0" w:after="100" w:line="276" w:lineRule="auto"/>
        <w:ind w:left="340" w:hanging="340"/>
      </w:pPr>
      <w:r>
        <w:rPr>
          <w:rFonts w:ascii="Aptos" w:hAnsi="Aptos" w:eastAsia="Aptos"/>
          <w:b/>
          <w:i w:val="0"/>
          <w:color w:val="1E3A8A"/>
          <w:sz w:val="22"/>
        </w:rPr>
        <w:t xml:space="preserve">3. </w:t>
      </w:r>
      <w:r>
        <w:rPr>
          <w:rFonts w:ascii="Aptos" w:hAnsi="Aptos" w:eastAsia="Aptos"/>
          <w:b w:val="0"/>
          <w:i w:val="0"/>
          <w:color w:val="1F2937"/>
          <w:sz w:val="22"/>
        </w:rPr>
        <w:t>[Varsa ve şartları somutlaştırılmışsa] hakem heyeti kararının icrasının yargılama sonuna kadar TEDBİREN DURDURULMASINA,</w:t>
      </w:r>
    </w:p>
    <w:p>
      <w:pPr>
        <w:spacing w:before="0" w:after="100" w:line="276" w:lineRule="auto"/>
        <w:ind w:left="340" w:hanging="340"/>
      </w:pPr>
      <w:r>
        <w:rPr>
          <w:rFonts w:ascii="Aptos" w:hAnsi="Aptos" w:eastAsia="Aptos"/>
          <w:b/>
          <w:i w:val="0"/>
          <w:color w:val="1E3A8A"/>
          <w:sz w:val="22"/>
        </w:rPr>
        <w:t xml:space="preserve">4. </w:t>
      </w:r>
      <w:r>
        <w:rPr>
          <w:rFonts w:ascii="Aptos" w:hAnsi="Aptos" w:eastAsia="Aptos"/>
          <w:b w:val="0"/>
          <w:i w:val="0"/>
          <w:color w:val="1F2937"/>
          <w:sz w:val="22"/>
        </w:rPr>
        <w:t>Hakem heyeti işlem dosyasının celbine ve gerekli görülürse bilirkişi incelemesi yaptırılmasına,</w:t>
      </w:r>
    </w:p>
    <w:p>
      <w:pPr>
        <w:spacing w:before="0" w:after="100" w:line="276" w:lineRule="auto"/>
        <w:ind w:left="340" w:hanging="340"/>
      </w:pPr>
      <w:r>
        <w:rPr>
          <w:rFonts w:ascii="Aptos" w:hAnsi="Aptos" w:eastAsia="Aptos"/>
          <w:b/>
          <w:i w:val="0"/>
          <w:color w:val="1E3A8A"/>
          <w:sz w:val="22"/>
        </w:rPr>
        <w:t xml:space="preserve">5. </w:t>
      </w:r>
      <w:r>
        <w:rPr>
          <w:rFonts w:ascii="Aptos" w:hAnsi="Aptos" w:eastAsia="Aptos"/>
          <w:b w:val="0"/>
          <w:i w:val="0"/>
          <w:color w:val="1F2937"/>
          <w:sz w:val="22"/>
        </w:rPr>
        <w:t>Yargılama giderleri ile vekâlet ücretinin hukuki duruma göre karşı tarafa yükletilmesine</w:t>
      </w:r>
    </w:p>
    <w:p>
      <w:pPr>
        <w:spacing w:before="0" w:after="240" w:line="276" w:lineRule="auto"/>
      </w:pPr>
      <w:r>
        <w:t>karar verilmesini saygıyla arz ve talep ederim.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4816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i w:val="0"/>
                <w:color w:val="1F2937"/>
                <w:sz w:val="20"/>
              </w:rPr>
              <w:t>Tarih: [GG.AA.YYYY]</w:t>
            </w:r>
          </w:p>
        </w:tc>
        <w:tc>
          <w:tcPr>
            <w:tcW w:type="dxa" w:w="4816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i w:val="0"/>
                <w:color w:val="1F2937"/>
                <w:sz w:val="20"/>
              </w:rPr>
              <w:t>İtiraz Eden / Davacı Vekili</w:t>
              <w:br/>
              <w:t>Av. Halil Bakırcı</w:t>
              <w:br/>
              <w:t>(E-İMZALIDIR)</w:t>
            </w:r>
          </w:p>
        </w:tc>
      </w:tr>
    </w:tbl>
    <w:p>
      <w:pPr>
        <w:spacing w:before="200" w:after="100" w:line="276" w:lineRule="auto"/>
      </w:pPr>
      <w:r>
        <w:rPr>
          <w:rFonts w:ascii="Aptos" w:hAnsi="Aptos" w:eastAsia="Aptos"/>
          <w:b/>
          <w:i w:val="0"/>
          <w:color w:val="1E3A8A"/>
          <w:sz w:val="24"/>
        </w:rPr>
        <w:t>EKLER</w:t>
      </w:r>
    </w:p>
    <w:p>
      <w:pPr>
        <w:spacing w:before="0" w:after="40" w:line="276" w:lineRule="auto"/>
        <w:ind w:left="227"/>
      </w:pPr>
      <w:r>
        <w:t>Ek-1: Hakem heyeti kararı</w:t>
      </w:r>
    </w:p>
    <w:p>
      <w:pPr>
        <w:spacing w:before="0" w:after="40" w:line="276" w:lineRule="auto"/>
        <w:ind w:left="227"/>
      </w:pPr>
      <w:r>
        <w:t>Ek-2: Tebliğ belgesi</w:t>
      </w:r>
    </w:p>
    <w:p>
      <w:pPr>
        <w:spacing w:before="0" w:after="40" w:line="276" w:lineRule="auto"/>
        <w:ind w:left="227"/>
      </w:pPr>
      <w:r>
        <w:t>Ek-3: Hakem heyeti başvuru ve savunma evrakı</w:t>
      </w:r>
    </w:p>
    <w:p>
      <w:pPr>
        <w:spacing w:before="0" w:after="40" w:line="276" w:lineRule="auto"/>
        <w:ind w:left="227"/>
      </w:pPr>
      <w:r>
        <w:t>Ek-4: Sözleşme / fatura / ödeme belgeleri</w:t>
      </w:r>
    </w:p>
    <w:p>
      <w:pPr>
        <w:spacing w:before="0" w:after="40" w:line="276" w:lineRule="auto"/>
        <w:ind w:left="227"/>
      </w:pPr>
      <w:r>
        <w:t>Ek-5: Servis veya teknik raporlar</w:t>
      </w:r>
    </w:p>
    <w:p>
      <w:pPr>
        <w:spacing w:before="0" w:after="40" w:line="276" w:lineRule="auto"/>
        <w:ind w:left="227"/>
      </w:pPr>
      <w:r>
        <w:t>Ek-6: Diğer deliller</w:t>
      </w:r>
    </w:p>
    <w:p>
      <w:pPr>
        <w:spacing w:before="200" w:after="100" w:line="276" w:lineRule="auto"/>
      </w:pPr>
      <w:r>
        <w:rPr>
          <w:rFonts w:ascii="Aptos" w:hAnsi="Aptos" w:eastAsia="Aptos"/>
          <w:b/>
          <w:i w:val="0"/>
          <w:color w:val="1E3A8A"/>
          <w:sz w:val="24"/>
        </w:rPr>
        <w:t>DOSYAYA UYARLAMA VE SON KONTROL REHBERİ</w:t>
      </w:r>
    </w:p>
    <w:p>
      <w:pPr>
        <w:spacing w:before="0" w:after="160" w:line="276" w:lineRule="auto"/>
      </w:pPr>
      <w:r>
        <w:t>Bu bölüm mahkemeye sunulacak dilekçenin parçası değildir. Dilekçe imzalanmadan önce aşağıdaki kontroller tamamlanır.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6690"/>
      </w:tblGrid>
      <w:tr>
        <w:tc>
          <w:tcPr>
            <w:tcW w:type="dxa" w:w="4816"/>
            <w:shd w:fill="1E3A8A"/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/>
                <w:i w:val="0"/>
                <w:color w:val="FFFFFF"/>
                <w:sz w:val="19"/>
              </w:rPr>
              <w:t>Kontrol</w:t>
            </w:r>
          </w:p>
        </w:tc>
        <w:tc>
          <w:tcPr>
            <w:tcW w:type="dxa" w:w="4816"/>
            <w:shd w:fill="1E3A8A"/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/>
                <w:i w:val="0"/>
                <w:color w:val="FFFFFF"/>
                <w:sz w:val="19"/>
              </w:rPr>
              <w:t>Uygulanacak işlem</w:t>
            </w:r>
          </w:p>
        </w:tc>
      </w:tr>
      <w:tr>
        <w:tc>
          <w:tcPr>
            <w:tcW w:type="dxa" w:w="2268"/>
            <w:shd w:fill="F5F7FA"/>
            <w:tcBorders>
              <w:top w:val="single" w:sz="4" w:color="E5E7EB"/>
              <w:left w:val="single" w:sz="4" w:color="E5E7EB"/>
              <w:bottom w:val="single" w:sz="4" w:color="E5E7EB"/>
              <w:right w:val="single" w:sz="4" w:color="E5E7EB"/>
            </w:tcBorders>
            <w:vAlign w:val="center"/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/>
                <w:i w:val="0"/>
                <w:color w:val="1E3A8A"/>
                <w:sz w:val="19"/>
              </w:rPr>
              <w:t>Süre</w:t>
            </w:r>
          </w:p>
        </w:tc>
        <w:tc>
          <w:tcPr>
            <w:tcW w:type="dxa" w:w="6690"/>
            <w:tcBorders>
              <w:top w:val="single" w:sz="4" w:color="E5E7EB"/>
              <w:left w:val="single" w:sz="4" w:color="E5E7EB"/>
              <w:bottom w:val="single" w:sz="4" w:color="E5E7EB"/>
              <w:right w:val="single" w:sz="4" w:color="E5E7EB"/>
            </w:tcBorders>
            <w:vAlign w:val="center"/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 w:val="0"/>
                <w:i w:val="0"/>
                <w:color w:val="1F2937"/>
                <w:sz w:val="19"/>
              </w:rPr>
              <w:t>Kararın hukuken tebliğ edildiği tarihi belgeyle doğrulayın. İki haftalık süreyi HMK’nın hafta olarak belirlenen sürelere ilişkin hükümlerine göre hesaplayın.</w:t>
            </w:r>
          </w:p>
        </w:tc>
      </w:tr>
      <w:tr>
        <w:tc>
          <w:tcPr>
            <w:tcW w:type="dxa" w:w="2268"/>
            <w:shd w:fill="F5F7FA"/>
            <w:tcBorders>
              <w:top w:val="single" w:sz="4" w:color="E5E7EB"/>
              <w:left w:val="single" w:sz="4" w:color="E5E7EB"/>
              <w:bottom w:val="single" w:sz="4" w:color="E5E7EB"/>
              <w:right w:val="single" w:sz="4" w:color="E5E7EB"/>
            </w:tcBorders>
            <w:vAlign w:val="center"/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/>
                <w:i w:val="0"/>
                <w:color w:val="1E3A8A"/>
                <w:sz w:val="19"/>
              </w:rPr>
              <w:t>Yetki</w:t>
            </w:r>
          </w:p>
        </w:tc>
        <w:tc>
          <w:tcPr>
            <w:tcW w:type="dxa" w:w="6690"/>
            <w:tcBorders>
              <w:top w:val="single" w:sz="4" w:color="E5E7EB"/>
              <w:left w:val="single" w:sz="4" w:color="E5E7EB"/>
              <w:bottom w:val="single" w:sz="4" w:color="E5E7EB"/>
              <w:right w:val="single" w:sz="4" w:color="E5E7EB"/>
            </w:tcBorders>
            <w:vAlign w:val="center"/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 w:val="0"/>
                <w:i w:val="0"/>
                <w:color w:val="1F2937"/>
                <w:sz w:val="19"/>
              </w:rPr>
              <w:t>Hakem heyetinin bulunduğu yer veya tüketicinin yerleşim yerindeki tüketici mahkemesinden somut dosyaya uygun olanı seçin.</w:t>
            </w:r>
          </w:p>
        </w:tc>
      </w:tr>
      <w:tr>
        <w:tc>
          <w:tcPr>
            <w:tcW w:type="dxa" w:w="2268"/>
            <w:shd w:fill="F5F7FA"/>
            <w:tcBorders>
              <w:top w:val="single" w:sz="4" w:color="E5E7EB"/>
              <w:left w:val="single" w:sz="4" w:color="E5E7EB"/>
              <w:bottom w:val="single" w:sz="4" w:color="E5E7EB"/>
              <w:right w:val="single" w:sz="4" w:color="E5E7EB"/>
            </w:tcBorders>
            <w:vAlign w:val="center"/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/>
                <w:i w:val="0"/>
                <w:color w:val="1E3A8A"/>
                <w:sz w:val="19"/>
              </w:rPr>
              <w:t>Arabuluculuk</w:t>
            </w:r>
          </w:p>
        </w:tc>
        <w:tc>
          <w:tcPr>
            <w:tcW w:type="dxa" w:w="6690"/>
            <w:tcBorders>
              <w:top w:val="single" w:sz="4" w:color="E5E7EB"/>
              <w:left w:val="single" w:sz="4" w:color="E5E7EB"/>
              <w:bottom w:val="single" w:sz="4" w:color="E5E7EB"/>
              <w:right w:val="single" w:sz="4" w:color="E5E7EB"/>
            </w:tcBorders>
            <w:vAlign w:val="center"/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 w:val="0"/>
                <w:i w:val="0"/>
                <w:color w:val="1F2937"/>
                <w:sz w:val="19"/>
              </w:rPr>
              <w:t>Hakem heyeti kararına itirazda dava şartı arabuluculuk yoktur. Süre içinde doğrudan mahkemeye başvurun.</w:t>
            </w:r>
          </w:p>
        </w:tc>
      </w:tr>
      <w:tr>
        <w:tc>
          <w:tcPr>
            <w:tcW w:type="dxa" w:w="2268"/>
            <w:shd w:fill="F5F7FA"/>
            <w:tcBorders>
              <w:top w:val="single" w:sz="4" w:color="E5E7EB"/>
              <w:left w:val="single" w:sz="4" w:color="E5E7EB"/>
              <w:bottom w:val="single" w:sz="4" w:color="E5E7EB"/>
              <w:right w:val="single" w:sz="4" w:color="E5E7EB"/>
            </w:tcBorders>
            <w:vAlign w:val="center"/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/>
                <w:i w:val="0"/>
                <w:color w:val="1E3A8A"/>
                <w:sz w:val="19"/>
              </w:rPr>
              <w:t>Taraf sıfatı</w:t>
            </w:r>
          </w:p>
        </w:tc>
        <w:tc>
          <w:tcPr>
            <w:tcW w:type="dxa" w:w="6690"/>
            <w:tcBorders>
              <w:top w:val="single" w:sz="4" w:color="E5E7EB"/>
              <w:left w:val="single" w:sz="4" w:color="E5E7EB"/>
              <w:bottom w:val="single" w:sz="4" w:color="E5E7EB"/>
              <w:right w:val="single" w:sz="4" w:color="E5E7EB"/>
            </w:tcBorders>
            <w:vAlign w:val="center"/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 w:val="0"/>
                <w:i w:val="0"/>
                <w:color w:val="1F2937"/>
                <w:sz w:val="19"/>
              </w:rPr>
              <w:t>Davalı/karşı taraf olarak uyuşmazlığın karşı tarafını doğru gösterin; hakem heyetini otomatik olarak davalı yazmayın.</w:t>
            </w:r>
          </w:p>
        </w:tc>
      </w:tr>
      <w:tr>
        <w:tc>
          <w:tcPr>
            <w:tcW w:type="dxa" w:w="2268"/>
            <w:shd w:fill="F5F7FA"/>
            <w:tcBorders>
              <w:top w:val="single" w:sz="4" w:color="E5E7EB"/>
              <w:left w:val="single" w:sz="4" w:color="E5E7EB"/>
              <w:bottom w:val="single" w:sz="4" w:color="E5E7EB"/>
              <w:right w:val="single" w:sz="4" w:color="E5E7EB"/>
            </w:tcBorders>
            <w:vAlign w:val="center"/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/>
                <w:i w:val="0"/>
                <w:color w:val="1E3A8A"/>
                <w:sz w:val="19"/>
              </w:rPr>
              <w:t>Talep</w:t>
            </w:r>
          </w:p>
        </w:tc>
        <w:tc>
          <w:tcPr>
            <w:tcW w:type="dxa" w:w="6690"/>
            <w:tcBorders>
              <w:top w:val="single" w:sz="4" w:color="E5E7EB"/>
              <w:left w:val="single" w:sz="4" w:color="E5E7EB"/>
              <w:bottom w:val="single" w:sz="4" w:color="E5E7EB"/>
              <w:right w:val="single" w:sz="4" w:color="E5E7EB"/>
            </w:tcBorders>
            <w:vAlign w:val="center"/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 w:val="0"/>
                <w:i w:val="0"/>
                <w:color w:val="1F2937"/>
                <w:sz w:val="19"/>
              </w:rPr>
              <w:t>Kararın hangi bölümüne neden itiraz edildiğini ve istenen sonucu açıkça yazın. Birbiriyle çelişen sonuç taleplerini birlikte kullanmayın.</w:t>
            </w:r>
          </w:p>
        </w:tc>
      </w:tr>
      <w:tr>
        <w:tc>
          <w:tcPr>
            <w:tcW w:type="dxa" w:w="2268"/>
            <w:shd w:fill="F5F7FA"/>
            <w:tcBorders>
              <w:top w:val="single" w:sz="4" w:color="E5E7EB"/>
              <w:left w:val="single" w:sz="4" w:color="E5E7EB"/>
              <w:bottom w:val="single" w:sz="4" w:color="E5E7EB"/>
              <w:right w:val="single" w:sz="4" w:color="E5E7EB"/>
            </w:tcBorders>
            <w:vAlign w:val="center"/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/>
                <w:i w:val="0"/>
                <w:color w:val="1E3A8A"/>
                <w:sz w:val="19"/>
              </w:rPr>
              <w:t>İcra tedbiri</w:t>
            </w:r>
          </w:p>
        </w:tc>
        <w:tc>
          <w:tcPr>
            <w:tcW w:type="dxa" w:w="6690"/>
            <w:tcBorders>
              <w:top w:val="single" w:sz="4" w:color="E5E7EB"/>
              <w:left w:val="single" w:sz="4" w:color="E5E7EB"/>
              <w:bottom w:val="single" w:sz="4" w:color="E5E7EB"/>
              <w:right w:val="single" w:sz="4" w:color="E5E7EB"/>
            </w:tcBorders>
            <w:vAlign w:val="center"/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 w:val="0"/>
                <w:i w:val="0"/>
                <w:color w:val="1F2937"/>
                <w:sz w:val="19"/>
              </w:rPr>
              <w:t>İtiraz icrayı kendiliğinden durdurmaz. Tedbir isteniyorsa telafisi güç sonuç ve hukuki yararı somutlaştırın.</w:t>
            </w:r>
          </w:p>
        </w:tc>
      </w:tr>
      <w:tr>
        <w:tc>
          <w:tcPr>
            <w:tcW w:type="dxa" w:w="2268"/>
            <w:shd w:fill="F5F7FA"/>
            <w:tcBorders>
              <w:top w:val="single" w:sz="4" w:color="E5E7EB"/>
              <w:left w:val="single" w:sz="4" w:color="E5E7EB"/>
              <w:bottom w:val="single" w:sz="4" w:color="E5E7EB"/>
              <w:right w:val="single" w:sz="4" w:color="E5E7EB"/>
            </w:tcBorders>
            <w:vAlign w:val="center"/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/>
                <w:i w:val="0"/>
                <w:color w:val="1E3A8A"/>
                <w:sz w:val="19"/>
              </w:rPr>
              <w:t>Delil</w:t>
            </w:r>
          </w:p>
        </w:tc>
        <w:tc>
          <w:tcPr>
            <w:tcW w:type="dxa" w:w="6690"/>
            <w:tcBorders>
              <w:top w:val="single" w:sz="4" w:color="E5E7EB"/>
              <w:left w:val="single" w:sz="4" w:color="E5E7EB"/>
              <w:bottom w:val="single" w:sz="4" w:color="E5E7EB"/>
              <w:right w:val="single" w:sz="4" w:color="E5E7EB"/>
            </w:tcBorders>
            <w:vAlign w:val="center"/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 w:val="0"/>
                <w:i w:val="0"/>
                <w:color w:val="1F2937"/>
                <w:sz w:val="19"/>
              </w:rPr>
              <w:t>Her olay paragrafını en az bir somut belge veya kayıtla eşleştirin. Tebliğ belgesini mutlaka ekleyin.</w:t>
            </w:r>
          </w:p>
        </w:tc>
      </w:tr>
      <w:tr>
        <w:tc>
          <w:tcPr>
            <w:tcW w:type="dxa" w:w="2268"/>
            <w:shd w:fill="F5F7FA"/>
            <w:tcBorders>
              <w:top w:val="single" w:sz="4" w:color="E5E7EB"/>
              <w:left w:val="single" w:sz="4" w:color="E5E7EB"/>
              <w:bottom w:val="single" w:sz="4" w:color="E5E7EB"/>
              <w:right w:val="single" w:sz="4" w:color="E5E7EB"/>
            </w:tcBorders>
            <w:vAlign w:val="center"/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/>
                <w:i w:val="0"/>
                <w:color w:val="1E3A8A"/>
                <w:sz w:val="19"/>
              </w:rPr>
              <w:t>Kişisel bilgiler</w:t>
            </w:r>
          </w:p>
        </w:tc>
        <w:tc>
          <w:tcPr>
            <w:tcW w:type="dxa" w:w="6690"/>
            <w:tcBorders>
              <w:top w:val="single" w:sz="4" w:color="E5E7EB"/>
              <w:left w:val="single" w:sz="4" w:color="E5E7EB"/>
              <w:bottom w:val="single" w:sz="4" w:color="E5E7EB"/>
              <w:right w:val="single" w:sz="4" w:color="E5E7EB"/>
            </w:tcBorders>
            <w:vAlign w:val="center"/>
          </w:tcPr>
          <w:p>
            <w:pPr>
              <w:spacing w:before="0" w:after="0" w:line="276" w:lineRule="auto"/>
            </w:pPr>
            <w:r>
              <w:rPr>
                <w:rFonts w:ascii="Aptos" w:hAnsi="Aptos" w:eastAsia="Aptos"/>
                <w:b w:val="0"/>
                <w:i w:val="0"/>
                <w:color w:val="1F2937"/>
                <w:sz w:val="19"/>
              </w:rPr>
              <w:t>Örnek alanlardaki kişi, tarih, tutar, ürün/hizmet ve dosya numaralarını gerçek dosyaya göre değiştirin.</w:t>
            </w:r>
          </w:p>
        </w:tc>
      </w:tr>
    </w:tbl>
    <w:p>
      <w:pPr>
        <w:spacing w:before="200" w:after="100" w:line="276" w:lineRule="auto"/>
      </w:pPr>
      <w:r>
        <w:rPr>
          <w:rFonts w:ascii="Aptos" w:hAnsi="Aptos" w:eastAsia="Aptos"/>
          <w:b/>
          <w:i w:val="0"/>
          <w:color w:val="1E3A8A"/>
          <w:sz w:val="24"/>
        </w:rPr>
        <w:t>RESMÎ HUKUKİ DAYANAKLAR</w:t>
      </w:r>
    </w:p>
    <w:p>
      <w:pPr>
        <w:spacing w:before="0" w:after="80" w:line="276" w:lineRule="auto"/>
        <w:ind w:left="283" w:hanging="142"/>
      </w:pPr>
      <w:r>
        <w:rPr>
          <w:rFonts w:ascii="Aptos" w:hAnsi="Aptos" w:eastAsia="Aptos"/>
          <w:b/>
          <w:i w:val="0"/>
          <w:color w:val="1E3A8A"/>
          <w:sz w:val="22"/>
        </w:rPr>
        <w:t xml:space="preserve">• </w:t>
      </w:r>
      <w:r>
        <w:rPr>
          <w:rFonts w:ascii="Aptos" w:hAnsi="Aptos" w:eastAsia="Aptos"/>
          <w:b w:val="0"/>
          <w:i w:val="0"/>
          <w:color w:val="1F2937"/>
          <w:sz w:val="21"/>
        </w:rPr>
        <w:t>6502 sayılı Tüketicinin Korunması Hakkında Kanun m.70 — Tüketici Hakem Heyeti kararına itiraz, icra ve mahkeme incelemesi</w:t>
      </w:r>
    </w:p>
    <w:p>
      <w:pPr>
        <w:spacing w:before="0" w:after="80" w:line="276" w:lineRule="auto"/>
        <w:ind w:left="283" w:hanging="142"/>
      </w:pPr>
      <w:r>
        <w:rPr>
          <w:rFonts w:ascii="Aptos" w:hAnsi="Aptos" w:eastAsia="Aptos"/>
          <w:b/>
          <w:i w:val="0"/>
          <w:color w:val="1E3A8A"/>
          <w:sz w:val="22"/>
        </w:rPr>
        <w:t xml:space="preserve">• </w:t>
      </w:r>
      <w:r>
        <w:rPr>
          <w:rFonts w:ascii="Aptos" w:hAnsi="Aptos" w:eastAsia="Aptos"/>
          <w:b w:val="0"/>
          <w:i w:val="0"/>
          <w:color w:val="1F2937"/>
          <w:sz w:val="21"/>
        </w:rPr>
        <w:t>6502 sayılı Kanun m.73/A — dava şartı arabuluculuk ve hakem heyeti kararlarına itiraz istisnası</w:t>
      </w:r>
    </w:p>
    <w:p>
      <w:pPr>
        <w:spacing w:before="0" w:after="80" w:line="276" w:lineRule="auto"/>
        <w:ind w:left="283" w:hanging="142"/>
      </w:pPr>
      <w:r>
        <w:rPr>
          <w:rFonts w:ascii="Aptos" w:hAnsi="Aptos" w:eastAsia="Aptos"/>
          <w:b/>
          <w:i w:val="0"/>
          <w:color w:val="1E3A8A"/>
          <w:sz w:val="22"/>
        </w:rPr>
        <w:t xml:space="preserve">• </w:t>
      </w:r>
      <w:r>
        <w:rPr>
          <w:rFonts w:ascii="Aptos" w:hAnsi="Aptos" w:eastAsia="Aptos"/>
          <w:b w:val="0"/>
          <w:i w:val="0"/>
          <w:color w:val="1F2937"/>
          <w:sz w:val="21"/>
        </w:rPr>
        <w:t>6100 sayılı Hukuk Muhakemeleri Kanunu — sürelerin hesaplanması ve yargılama usulü</w:t>
      </w:r>
    </w:p>
    <w:p>
      <w:pPr>
        <w:spacing w:before="0" w:after="80" w:line="276" w:lineRule="auto"/>
        <w:ind w:left="283" w:hanging="142"/>
      </w:pPr>
      <w:r>
        <w:rPr>
          <w:rFonts w:ascii="Aptos" w:hAnsi="Aptos" w:eastAsia="Aptos"/>
          <w:b/>
          <w:i w:val="0"/>
          <w:color w:val="1E3A8A"/>
          <w:sz w:val="22"/>
        </w:rPr>
        <w:t xml:space="preserve">• </w:t>
      </w:r>
      <w:r>
        <w:rPr>
          <w:rFonts w:ascii="Aptos" w:hAnsi="Aptos" w:eastAsia="Aptos"/>
          <w:b w:val="0"/>
          <w:i w:val="0"/>
          <w:color w:val="1F2937"/>
          <w:sz w:val="21"/>
        </w:rPr>
        <w:t>7499 sayılı Kanun m.37 — “on beş gün” ibaresinin “iki hafta” olarak değiştirilmesi; 1 Haziran 2024 ve sonrası kararlar için güncel kural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304" w:bottom="96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i w:val="0"/>
        <w:color w:val="4B5563"/>
        <w:sz w:val="16"/>
      </w:rPr>
      <w:t>Av. Halil Bakırcı • Mersin Barosu Sicil No: 3472 • Son hukuk kontrolü: 13 Eylül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60" w:line="276" w:lineRule="auto"/>
      <w:jc w:val="center"/>
    </w:pPr>
    <w:r>
      <w:rPr>
        <w:rFonts w:ascii="Aptos" w:hAnsi="Aptos" w:eastAsia="Aptos"/>
        <w:b/>
        <w:i w:val="0"/>
        <w:color w:val="1E3A8A"/>
        <w:sz w:val="18"/>
      </w:rPr>
      <w:t>BAKIRCI &amp; KESKİN HUKUK BÜROSU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w="http://schemas.openxmlformats.org/wordprocessingml/2006/main">
  <w:docDefaults>
    <w:rPrDefault>
      <w:rPr>
        <w:rFonts w:ascii="Aptos" w:hAnsi="Aptos" w:eastAsia="Aptos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  <w:rPr>
      <w:rFonts w:ascii="Aptos" w:hAnsi="Aptos" w:eastAsia="Aptos"/>
      <w:sz w:val="22"/>
      <w:szCs w:val="22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Tüketici Hakem Heyeti Kararına İtiraz Dilekçesi 2026 – Güncel Word Şablonu</dc:title>
  <dc:subject>6502 m.70 kapsamında iki haftalık itiraz süresi ve güncel başvuru usulü</dc:subject>
  <dc:creator>Av. Halil Bakırcı – Bakırcı &amp; Keskin Hukuk Bürosu</dc:creator>
  <cp:keywords>tüketici hakem heyeti itiraz dilekçesi, 6502 m.70, iki hafta, tüketici mahkemesi,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